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4F4E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eastAsia" w:ascii="黑体" w:hAnsi="黑体" w:eastAsia="黑体" w:cs="黑体"/>
          <w:b w:val="0"/>
          <w:bCs w:val="0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8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8"/>
          <w:kern w:val="0"/>
          <w:sz w:val="32"/>
          <w:szCs w:val="32"/>
          <w:lang w:val="en-US" w:eastAsia="zh-CN"/>
        </w:rPr>
        <w:t>2</w:t>
      </w:r>
    </w:p>
    <w:p w14:paraId="500514ED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kern w:val="0"/>
          <w:sz w:val="36"/>
          <w:szCs w:val="36"/>
        </w:rPr>
        <w:t>适配“好房子”建设需要的“好门窗”大赛实施细则</w:t>
      </w:r>
    </w:p>
    <w:p w14:paraId="6BAAFC8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ascii="方正公文小标宋" w:hAnsi="方正公文小标宋" w:eastAsia="方正公文小标宋" w:cs="Times New Roman"/>
          <w:b/>
          <w:bCs/>
          <w:spacing w:val="8"/>
          <w:kern w:val="0"/>
          <w:sz w:val="32"/>
          <w:szCs w:val="32"/>
        </w:rPr>
      </w:pPr>
    </w:p>
    <w:p w14:paraId="3B5C79A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ascii="黑体" w:hAnsi="黑体" w:eastAsia="黑体" w:cs="Times New Roman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一、评分标准及要求</w:t>
      </w:r>
    </w:p>
    <w:p w14:paraId="670E2B0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2" w:firstLineChars="210"/>
        <w:jc w:val="both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鉴于项目的工程性质、类别、规模、使用的材料、采用的工艺等各方面差别较大，故评分以扣分法为主，结合查出的问题进行评分。项目总分为100分，加分项最高为10分。</w:t>
      </w:r>
    </w:p>
    <w:p w14:paraId="300372B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2" w:firstLineChars="21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《工程评分标准》中所列均为必查和主查内容，可根据项目实际情况做必要的补充和调整。</w:t>
      </w:r>
    </w:p>
    <w:p w14:paraId="109D2CF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2" w:firstLineChars="21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申报单位需重视对工程安全隐患的排查及相关必要文件的准备，要求企业申报前对涉及安全、结构、热工、绿色、节能、防火、隐蔽资料等方面的情况进行自查，使其符合相应的国家强制性规范和标准。</w:t>
      </w:r>
    </w:p>
    <w:p w14:paraId="3E14DD7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2" w:firstLineChars="21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“好门窗”的评选原则为“优中选优”，</w:t>
      </w:r>
      <w:bookmarkStart w:id="0" w:name="_Hlk215217592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仅对</w:t>
      </w:r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已通过竣工验收的工程进行评选。</w:t>
      </w:r>
    </w:p>
    <w:p w14:paraId="1EC15789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执行的法规、规范和标准</w:t>
      </w:r>
    </w:p>
    <w:p w14:paraId="1C41BEC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2" w:firstLineChars="21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以法律法规、现行国家和行业规范标准、合同约定为准。</w:t>
      </w:r>
    </w:p>
    <w:p w14:paraId="0FEDA77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三、评分标准—门窗工程类</w:t>
      </w:r>
    </w:p>
    <w:tbl>
      <w:tblPr>
        <w:tblStyle w:val="9"/>
        <w:tblW w:w="9640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10"/>
        <w:gridCol w:w="4669"/>
        <w:gridCol w:w="1425"/>
        <w:gridCol w:w="1290"/>
      </w:tblGrid>
      <w:tr w14:paraId="72334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34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CE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检查项目</w:t>
            </w:r>
          </w:p>
        </w:tc>
        <w:tc>
          <w:tcPr>
            <w:tcW w:w="4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2A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检查内容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A0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评分标准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FC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7F452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5B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10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必要文件</w:t>
            </w:r>
          </w:p>
        </w:tc>
        <w:tc>
          <w:tcPr>
            <w:tcW w:w="4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C5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企业法人营业执照（复印件加盖企业鲜章即可，但必须为年检有效的）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E6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97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17D6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9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F5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18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必要文件</w:t>
            </w:r>
          </w:p>
        </w:tc>
        <w:tc>
          <w:tcPr>
            <w:tcW w:w="4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BF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施工合同（复印件加盖企业鲜章，合同价必须满足申报要求，如涉及联合体项目需提供证明）</w:t>
            </w:r>
          </w:p>
          <w:p w14:paraId="1DF19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竣工验收记录（复印件加盖企业鲜章，填写完整、签章齐全）</w:t>
            </w:r>
          </w:p>
          <w:p w14:paraId="5BF77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消防验收合格证明（复印件加盖企业鲜章、项目名称、验收范围、日期、结论完整，非消防设计审核意见、非消防工程验收报告）</w:t>
            </w:r>
          </w:p>
          <w:p w14:paraId="4DD4D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结算金额（复印件加盖企业鲜章，当中标价或合同价均小于申报要求的，必须核对经审计的决算书）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B0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否决项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E4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D8BE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84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6B8D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 w14:paraId="70122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安全性</w:t>
            </w: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A9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工程所有的门窗类型都应有结构计算书；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 w14:paraId="1C12C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每项扣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1-3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1290" w:type="dxa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 w14:paraId="4562C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CB78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08E7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40960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91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结构计算内容应齐全完整不缺项，计算应有明确结论，计算结果满足工程设计要求；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3412F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2E86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B2AC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A28C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7086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08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应当对后置埋件做受力计算；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4C4B8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6CC67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EF42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8BA6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42FC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EA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防火窗、耐火窗应符合设计要求，并提供型式检验报告及第三方复试报告。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73F32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AD09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A87C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343D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FC3A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B3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开启扇开启距离适宜，无安全隐患。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D9F5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130C0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77F53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4E2A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2E902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52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外开窗应有防脱落装置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38B7D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312C9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4D34C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8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29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C2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74C0C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玻璃自爆率小于千分之一，无相关负面舆情</w:t>
            </w:r>
          </w:p>
        </w:tc>
        <w:tc>
          <w:tcPr>
            <w:tcW w:w="142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8D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87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4CF5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4A27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3970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舒适性</w:t>
            </w:r>
          </w:p>
        </w:tc>
        <w:tc>
          <w:tcPr>
            <w:tcW w:w="4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F6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门窗物理性能报告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5124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每项扣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1-3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E3BD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查</w:t>
            </w:r>
          </w:p>
          <w:p w14:paraId="238D3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看</w:t>
            </w:r>
          </w:p>
          <w:p w14:paraId="6EB16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资</w:t>
            </w:r>
          </w:p>
          <w:p w14:paraId="4AB98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料</w:t>
            </w:r>
          </w:p>
        </w:tc>
      </w:tr>
      <w:tr w14:paraId="5A4F3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8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1C73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92FC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68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门窗主要材料合格证及复试报告</w:t>
            </w:r>
          </w:p>
          <w:p w14:paraId="0CCC3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钢型材复试报告</w:t>
            </w:r>
          </w:p>
          <w:p w14:paraId="0B6EF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铝型材复试报告</w:t>
            </w:r>
          </w:p>
          <w:p w14:paraId="483FE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面板类复试报告</w:t>
            </w:r>
          </w:p>
          <w:p w14:paraId="1E7A9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胶类复试报告</w:t>
            </w:r>
          </w:p>
          <w:p w14:paraId="3991E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后置锚栓拉拔试验报告</w:t>
            </w:r>
          </w:p>
          <w:p w14:paraId="69190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防雷检测报告</w:t>
            </w:r>
          </w:p>
          <w:p w14:paraId="48028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7.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淋水试验记录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02C8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D648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55B13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E6F0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7E314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F4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玻璃的可见光透过率适宜，与窗帘配合，室内光环境良好；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70B68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7429E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54C01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BD11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77A44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B2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玻璃的保温性能适宜，与空调系统配合得当，室内热环境舒适，距窗合理距离，无明显温度落差；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41840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65FD7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53E2F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79B9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6AA9B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3F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玻璃反射影像无严重畸变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A721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30598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5D10B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1F60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32D9E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F7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可视部位的玻璃在正常视角下无明显的透射变形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40933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2BC5F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A0B2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4BFE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7A510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BC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门窗开启扇启闭灵活顺畅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7074D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1C98B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DC08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90CC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19134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B4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开启方向合理，不影响通行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EED3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A88D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4CDD4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8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A2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3F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B9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手动开启扇的开启把手（执手）位置合理，开启方便</w:t>
            </w:r>
          </w:p>
        </w:tc>
        <w:tc>
          <w:tcPr>
            <w:tcW w:w="142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FB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91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CE66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4" w:hRule="atLeas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18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DE2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绿色</w:t>
            </w:r>
          </w:p>
        </w:tc>
        <w:tc>
          <w:tcPr>
            <w:tcW w:w="4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CC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门窗节能计算书应符合建筑设计专篇中关于门窗的相关要求。</w:t>
            </w:r>
          </w:p>
          <w:p w14:paraId="12E4B959">
            <w:pPr>
              <w:pStyle w:val="2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leftChars="0" w:firstLine="0" w:firstLineChars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 w:bidi="ar-SA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门窗节能计算书齐全、完整。</w:t>
            </w:r>
          </w:p>
          <w:p w14:paraId="371E1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门窗使用材料符合建筑节能要求，铝材、玻璃等应提供节能方面的型式检验报告、复试报告。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2B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每项扣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1-3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83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查</w:t>
            </w:r>
          </w:p>
          <w:p w14:paraId="659F6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看</w:t>
            </w:r>
          </w:p>
          <w:p w14:paraId="20599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资</w:t>
            </w:r>
          </w:p>
          <w:p w14:paraId="6D7C0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料</w:t>
            </w:r>
          </w:p>
        </w:tc>
      </w:tr>
      <w:tr w14:paraId="159BF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3022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001E9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00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门窗系统和材料选型应适合当地的气候特点</w:t>
            </w:r>
          </w:p>
        </w:tc>
        <w:tc>
          <w:tcPr>
            <w:tcW w:w="1425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09C3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715A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5CA7A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C12A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nil"/>
            </w:tcBorders>
            <w:noWrap/>
            <w:vAlign w:val="center"/>
          </w:tcPr>
          <w:p w14:paraId="4B1E1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3C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应选用保温节能良好的材料及构造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3D3E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CC47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453A1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EF32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nil"/>
            </w:tcBorders>
            <w:noWrap/>
            <w:vAlign w:val="center"/>
          </w:tcPr>
          <w:p w14:paraId="2AB1A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CC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热工计算报告齐全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30441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7A294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785A2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A956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nil"/>
            </w:tcBorders>
            <w:noWrap/>
            <w:vAlign w:val="center"/>
          </w:tcPr>
          <w:p w14:paraId="07AAA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BC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应选用耐久性较好的材料，如铝材、不锈钢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7A2E7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64454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84C5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75A2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nil"/>
            </w:tcBorders>
            <w:noWrap/>
            <w:vAlign w:val="center"/>
          </w:tcPr>
          <w:p w14:paraId="50726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0BA72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无玻璃反射光影响周边民众工作生活而导致大量投诉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83D7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22389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1044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82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8851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E2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在</w:t>
            </w:r>
            <w:r>
              <w:rPr>
                <w:rFonts w:hint="eastAsia" w:ascii="仿宋" w:hAnsi="仿宋" w:eastAsia="仿宋" w:cs="仿宋"/>
                <w:color w:val="000000"/>
                <w:spacing w:val="-6"/>
                <w:kern w:val="0"/>
                <w:sz w:val="28"/>
                <w:szCs w:val="28"/>
              </w:rPr>
              <w:t>生产、建造、使用过程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中析出的对人体有毒有害物质远低于国家要求</w:t>
            </w:r>
          </w:p>
        </w:tc>
        <w:tc>
          <w:tcPr>
            <w:tcW w:w="142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1F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18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80C7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84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E5A1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51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智慧</w:t>
            </w: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5F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集成环境感知、自动调节、能源管理功能的智能门窗系统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例如，温控玻璃、光感遮阳系统、风感雨感窗控系统、破损报警系统等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 w14:paraId="78D0C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每项加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1-2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1290" w:type="dxa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 w14:paraId="6374F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D297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2E18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ADA2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加分项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D7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消防联动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必须符合设计要求并消防验收合格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10443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32FDB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599C9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C4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B4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75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安防联动</w:t>
            </w:r>
          </w:p>
        </w:tc>
        <w:tc>
          <w:tcPr>
            <w:tcW w:w="142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F1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DA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4B57E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FC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6E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装饰性</w:t>
            </w:r>
          </w:p>
        </w:tc>
        <w:tc>
          <w:tcPr>
            <w:tcW w:w="4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4C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整体外观平顺流畅</w:t>
            </w:r>
          </w:p>
        </w:tc>
        <w:tc>
          <w:tcPr>
            <w:tcW w:w="142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47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每项扣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1-3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2E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1F72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C44E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33E9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CF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各外露材料表面</w:t>
            </w:r>
            <w:r>
              <w:rPr>
                <w:rFonts w:hint="eastAsia" w:ascii="仿宋" w:hAnsi="仿宋" w:eastAsia="仿宋" w:cs="仿宋"/>
                <w:color w:val="000000"/>
                <w:spacing w:val="-6"/>
                <w:kern w:val="0"/>
                <w:sz w:val="28"/>
                <w:szCs w:val="28"/>
              </w:rPr>
              <w:t>无磕碰、掉漆、划痕、污损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等影响外观效果的质量缺陷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;</w:t>
            </w:r>
          </w:p>
        </w:tc>
        <w:tc>
          <w:tcPr>
            <w:tcW w:w="1425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726E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29E1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3801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8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34FA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5989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17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各接缝处均匀、平整、无毛刺、无残胶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425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38C6E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4214F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7471F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09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07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B4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可视部位无渗漏痕迹</w:t>
            </w:r>
          </w:p>
        </w:tc>
        <w:tc>
          <w:tcPr>
            <w:tcW w:w="142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F1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CD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42D7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1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60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F3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新技术</w:t>
            </w:r>
          </w:p>
        </w:tc>
        <w:tc>
          <w:tcPr>
            <w:tcW w:w="4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CD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采用了能提高工程质量和生产效率的</w:t>
            </w:r>
            <w:r>
              <w:rPr>
                <w:rFonts w:hint="eastAsia" w:ascii="仿宋" w:hAnsi="仿宋" w:eastAsia="仿宋" w:cs="仿宋"/>
                <w:color w:val="000000"/>
                <w:spacing w:val="-6"/>
                <w:kern w:val="0"/>
                <w:sz w:val="28"/>
                <w:szCs w:val="28"/>
              </w:rPr>
              <w:t>新工艺、新工法、新技术、新材料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7A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每项加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1-2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32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spacing w:val="-11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</w:rPr>
              <w:t>需提供工法、专利证书、论文或省级以上的科技鉴定证书</w:t>
            </w:r>
          </w:p>
        </w:tc>
      </w:tr>
      <w:tr w14:paraId="3243E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21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C8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jc w:val="center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加分项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4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42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大面积采用成品窗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1E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7D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0"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30441082">
      <w:pPr>
        <w:widowControl/>
        <w:shd w:val="clear" w:color="auto" w:fill="FFFFFF"/>
        <w:adjustRightInd/>
        <w:snapToGrid/>
        <w:ind w:firstLine="0"/>
        <w:jc w:val="both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</w:p>
    <w:p w14:paraId="31CE0FE0">
      <w:pPr>
        <w:widowControl/>
        <w:shd w:val="clear" w:color="auto" w:fill="FFFFFF"/>
        <w:adjustRightInd/>
        <w:snapToGrid/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四、评分标准—门窗产品类</w:t>
      </w:r>
    </w:p>
    <w:tbl>
      <w:tblPr>
        <w:tblStyle w:val="9"/>
        <w:tblW w:w="9625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410"/>
        <w:gridCol w:w="4650"/>
        <w:gridCol w:w="1410"/>
        <w:gridCol w:w="1290"/>
      </w:tblGrid>
      <w:tr w14:paraId="765DA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ED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1F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检查项目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BE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检查内容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CC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评分标准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BE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0F6F8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4" w:hRule="atLeast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0A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B6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必要文件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98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、企业法人营业执照（复印件加盖企业鲜章即可，但必须为年检有效的）</w:t>
            </w:r>
          </w:p>
          <w:p w14:paraId="523B4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、企业产品标准，安装及使用说明书，型式试验报告；</w:t>
            </w:r>
          </w:p>
          <w:p w14:paraId="560C6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、应用证明：销售合同；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67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jc w:val="center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否决项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F9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jc w:val="center"/>
              <w:textAlignment w:val="auto"/>
              <w:rPr>
                <w:rFonts w:ascii="仿宋" w:hAnsi="仿宋" w:eastAsia="仿宋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8A07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8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5BFE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jc w:val="center"/>
              <w:textAlignment w:val="auto"/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3372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安全性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FA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门窗产品的结构件应有结构计算书（型材，五金件，玻璃等）；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0A92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每项扣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1-</w:t>
            </w:r>
            <w:bookmarkStart w:id="1" w:name="_GoBack"/>
            <w:bookmarkEnd w:id="1"/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BACB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08F4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0A2B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BF69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96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产品系列适用范围</w:t>
            </w: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70B8C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31289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B3140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5990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73B61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CA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防火窗、耐火窗应符合设计要求，并提供型式检验报告及第三方复试报告。</w:t>
            </w: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4E6E4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4D685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3E51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DD84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CCC9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BE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开启扇开启距离适宜，无安全隐患。</w:t>
            </w: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E744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4B43A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5640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7C24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7BF2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8C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外开窗应有防脱落装置</w:t>
            </w: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10FD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4C584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923C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4781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jc w:val="right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6824A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50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门窗物理性能报告</w:t>
            </w: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30FE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3A731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8B7D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3" w:hRule="atLeast"/>
        </w:trPr>
        <w:tc>
          <w:tcPr>
            <w:tcW w:w="8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BF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jc w:val="right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25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8F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门窗主要材料技术要求</w:t>
            </w:r>
          </w:p>
          <w:p w14:paraId="25696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钢型材复试报告</w:t>
            </w:r>
          </w:p>
          <w:p w14:paraId="28BBD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铝型材复试报告</w:t>
            </w:r>
          </w:p>
          <w:p w14:paraId="71402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面板类复试报告</w:t>
            </w:r>
          </w:p>
          <w:p w14:paraId="72479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胶类复试报告</w:t>
            </w:r>
          </w:p>
        </w:tc>
        <w:tc>
          <w:tcPr>
            <w:tcW w:w="14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1ED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7D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160E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8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B233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18F2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舒适性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62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玻璃的保温性能适宜，与空调系统配合得当，室内热环境舒适，距窗合理距离，无明显温度落差；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85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 w:firstLineChars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每项扣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1-3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CBFF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130B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D060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3AC6C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6C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门窗开启扇启闭灵活顺畅</w:t>
            </w: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1D2DA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3118A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C157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20CE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397CB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55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开启方向合理，不影响通行</w:t>
            </w: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749B7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69F81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4311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8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00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B8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DB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手动开启扇的开启把手（执手）位置合理，开启方便</w:t>
            </w:r>
          </w:p>
        </w:tc>
        <w:tc>
          <w:tcPr>
            <w:tcW w:w="14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09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2C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5C27F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</w:trPr>
        <w:tc>
          <w:tcPr>
            <w:tcW w:w="8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08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jc w:val="both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75BD8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绿色</w:t>
            </w:r>
          </w:p>
        </w:tc>
        <w:tc>
          <w:tcPr>
            <w:tcW w:w="4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E2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门窗节能计算应包含产品系列不同配置的节能计算及说明。</w:t>
            </w:r>
          </w:p>
          <w:p w14:paraId="165C164D">
            <w:pPr>
              <w:pStyle w:val="2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left="720" w:leftChars="0" w:hanging="720" w:firstLineChars="0"/>
              <w:textAlignment w:val="auto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门窗节能计算书齐全、完整。</w:t>
            </w:r>
          </w:p>
          <w:p w14:paraId="2C4F2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门窗使用材料符合建筑节能要求，铝材、玻璃等应提供节能方面的型式检验报告、复试报告。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9B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每项扣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1-3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A9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查看资料</w:t>
            </w:r>
          </w:p>
        </w:tc>
      </w:tr>
      <w:tr w14:paraId="141FA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2F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right w:val="nil"/>
            </w:tcBorders>
            <w:noWrap/>
            <w:vAlign w:val="center"/>
          </w:tcPr>
          <w:p w14:paraId="7A7D3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BA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应选用保温节能良好的材料及构造</w:t>
            </w:r>
          </w:p>
        </w:tc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65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8C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4661E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66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single" w:color="auto" w:sz="4" w:space="0"/>
              <w:right w:val="nil"/>
            </w:tcBorders>
            <w:noWrap/>
            <w:vAlign w:val="center"/>
          </w:tcPr>
          <w:p w14:paraId="4F27B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A2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热工计算报告齐全</w:t>
            </w:r>
          </w:p>
        </w:tc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AF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50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8044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8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61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2234E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1E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应选用耐久性较好的材料，如铝材、不锈钢</w:t>
            </w:r>
          </w:p>
        </w:tc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70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F5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14A76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</w:trPr>
        <w:tc>
          <w:tcPr>
            <w:tcW w:w="8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4FF0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9F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智慧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B6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集成环境感知、自动调节、能源管理功能的智能幕墙系统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例如，温控玻璃、光感遮阳系统、风感雨感窗控系统、破损报警系统等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1C65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每项加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1-2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18C9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33BB1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4AF2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AD78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加分项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E3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消防联动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必须符合设计要求并消防验收合格</w:t>
            </w: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1F8F7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61989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58CCF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F1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1D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8B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安防联动</w:t>
            </w:r>
          </w:p>
        </w:tc>
        <w:tc>
          <w:tcPr>
            <w:tcW w:w="14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32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15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46B90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6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ED5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jc w:val="both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55F9D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装饰性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20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整体外观平顺流畅</w:t>
            </w:r>
          </w:p>
        </w:tc>
        <w:tc>
          <w:tcPr>
            <w:tcW w:w="1410" w:type="dxa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 w14:paraId="312FA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每项扣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1-3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1290" w:type="dxa"/>
            <w:vMerge w:val="restart"/>
            <w:tcBorders>
              <w:top w:val="nil"/>
              <w:left w:val="nil"/>
              <w:right w:val="single" w:color="auto" w:sz="4" w:space="0"/>
            </w:tcBorders>
            <w:noWrap/>
            <w:vAlign w:val="center"/>
          </w:tcPr>
          <w:p w14:paraId="42B80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0BF0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153A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BD18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DC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各外露材料表面无磕碰、掉漆、划痕、污损等影响外观效果的质量缺陷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;</w:t>
            </w: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0029F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2055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C778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C0B8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8135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2D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各接缝处均匀、平整、无毛刺、无残胶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,</w:t>
            </w:r>
          </w:p>
        </w:tc>
        <w:tc>
          <w:tcPr>
            <w:tcW w:w="141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59AFB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right w:val="single" w:color="auto" w:sz="4" w:space="0"/>
            </w:tcBorders>
            <w:noWrap/>
            <w:vAlign w:val="center"/>
          </w:tcPr>
          <w:p w14:paraId="1A793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09A4B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CD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C6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8E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可视部位无渗漏痕迹</w:t>
            </w:r>
          </w:p>
        </w:tc>
        <w:tc>
          <w:tcPr>
            <w:tcW w:w="14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4E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DE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518BD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</w:trPr>
        <w:tc>
          <w:tcPr>
            <w:tcW w:w="8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B8F6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BE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新技术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55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采用了能提高产品质量和生产效率的新工艺、新工法、新技术、新材料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2A02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每项加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1-2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分</w:t>
            </w: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D6A0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需提供工法、专利证书、论文或省级以上的科技鉴定证书</w:t>
            </w:r>
          </w:p>
        </w:tc>
      </w:tr>
      <w:tr w14:paraId="07B7A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1C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hint="default" w:ascii="仿宋" w:hAnsi="仿宋" w:eastAsia="仿宋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8B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加分项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91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企业产品标准取得省部级验收</w:t>
            </w:r>
          </w:p>
        </w:tc>
        <w:tc>
          <w:tcPr>
            <w:tcW w:w="141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CC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F9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0"/>
              <w:textAlignment w:val="auto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5F8D7234">
      <w:pPr>
        <w:widowControl/>
        <w:shd w:val="clear" w:color="auto" w:fill="FFFFFF"/>
        <w:adjustRightInd/>
        <w:snapToGrid/>
        <w:ind w:firstLine="0"/>
        <w:jc w:val="both"/>
        <w:rPr>
          <w:rFonts w:ascii="仿宋" w:hAnsi="仿宋" w:eastAsia="仿宋" w:cs="Times New Roman"/>
          <w:b/>
          <w:bCs/>
          <w:kern w:val="0"/>
          <w:sz w:val="32"/>
          <w:szCs w:val="32"/>
        </w:rPr>
      </w:pPr>
    </w:p>
    <w:sectPr>
      <w:footerReference r:id="rId5" w:type="default"/>
      <w:pgSz w:w="11906" w:h="16838"/>
      <w:pgMar w:top="1440" w:right="1474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F9409D95-9145-422E-93DF-4CB2FA4E333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4722820-025E-44BF-A156-56B168E63442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3643FFC-ECBE-4143-9369-C0CD57944B3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56E0D5C-8E22-4CDF-AA16-63F09770443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8B5C48">
    <w:pPr>
      <w:pStyle w:val="6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170E123">
                <w:pPr>
                  <w:pStyle w:val="6"/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NotTrackMove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74911"/>
    <w:rsid w:val="000864D4"/>
    <w:rsid w:val="000F6C4C"/>
    <w:rsid w:val="00147C02"/>
    <w:rsid w:val="00147DEB"/>
    <w:rsid w:val="001938FC"/>
    <w:rsid w:val="00203DDA"/>
    <w:rsid w:val="00214CD3"/>
    <w:rsid w:val="00223D69"/>
    <w:rsid w:val="0024240A"/>
    <w:rsid w:val="002469E3"/>
    <w:rsid w:val="00273615"/>
    <w:rsid w:val="00285CFE"/>
    <w:rsid w:val="002A07E2"/>
    <w:rsid w:val="002D2A07"/>
    <w:rsid w:val="002D53AE"/>
    <w:rsid w:val="002D726F"/>
    <w:rsid w:val="00300323"/>
    <w:rsid w:val="00333588"/>
    <w:rsid w:val="003502F9"/>
    <w:rsid w:val="00374911"/>
    <w:rsid w:val="003C0F36"/>
    <w:rsid w:val="003D2AC6"/>
    <w:rsid w:val="003D6A1A"/>
    <w:rsid w:val="00407402"/>
    <w:rsid w:val="00414D17"/>
    <w:rsid w:val="00423587"/>
    <w:rsid w:val="0043296A"/>
    <w:rsid w:val="004B64A6"/>
    <w:rsid w:val="004B7F39"/>
    <w:rsid w:val="005232CC"/>
    <w:rsid w:val="005D1790"/>
    <w:rsid w:val="005E766D"/>
    <w:rsid w:val="00616108"/>
    <w:rsid w:val="00631B59"/>
    <w:rsid w:val="006349A3"/>
    <w:rsid w:val="007305E6"/>
    <w:rsid w:val="00732452"/>
    <w:rsid w:val="00761576"/>
    <w:rsid w:val="00762653"/>
    <w:rsid w:val="00775286"/>
    <w:rsid w:val="0079112C"/>
    <w:rsid w:val="007B172B"/>
    <w:rsid w:val="007D43B3"/>
    <w:rsid w:val="007E5FC5"/>
    <w:rsid w:val="00803A88"/>
    <w:rsid w:val="00806498"/>
    <w:rsid w:val="008314FB"/>
    <w:rsid w:val="00854AA4"/>
    <w:rsid w:val="00861190"/>
    <w:rsid w:val="00881124"/>
    <w:rsid w:val="00885019"/>
    <w:rsid w:val="008A4A17"/>
    <w:rsid w:val="008B191E"/>
    <w:rsid w:val="008B4C87"/>
    <w:rsid w:val="008C3B2C"/>
    <w:rsid w:val="009604C3"/>
    <w:rsid w:val="009624B3"/>
    <w:rsid w:val="00977CA4"/>
    <w:rsid w:val="00986A22"/>
    <w:rsid w:val="009874A6"/>
    <w:rsid w:val="00994FC7"/>
    <w:rsid w:val="009B1FF9"/>
    <w:rsid w:val="009E6243"/>
    <w:rsid w:val="009F7D66"/>
    <w:rsid w:val="00A770B6"/>
    <w:rsid w:val="00A96977"/>
    <w:rsid w:val="00AA1C50"/>
    <w:rsid w:val="00AA3938"/>
    <w:rsid w:val="00AF3D02"/>
    <w:rsid w:val="00B17B67"/>
    <w:rsid w:val="00B21EE8"/>
    <w:rsid w:val="00B44755"/>
    <w:rsid w:val="00B46573"/>
    <w:rsid w:val="00B57D9E"/>
    <w:rsid w:val="00B82ACA"/>
    <w:rsid w:val="00B95BF6"/>
    <w:rsid w:val="00BD67A7"/>
    <w:rsid w:val="00BE5178"/>
    <w:rsid w:val="00C506AD"/>
    <w:rsid w:val="00C65427"/>
    <w:rsid w:val="00C945D9"/>
    <w:rsid w:val="00CD733A"/>
    <w:rsid w:val="00CE0D28"/>
    <w:rsid w:val="00CE4021"/>
    <w:rsid w:val="00D2151A"/>
    <w:rsid w:val="00D83098"/>
    <w:rsid w:val="00DB4D97"/>
    <w:rsid w:val="00DD285B"/>
    <w:rsid w:val="00DE1065"/>
    <w:rsid w:val="00DE1AED"/>
    <w:rsid w:val="00E260FD"/>
    <w:rsid w:val="00E40880"/>
    <w:rsid w:val="00E4158F"/>
    <w:rsid w:val="00E4379B"/>
    <w:rsid w:val="00E44DAC"/>
    <w:rsid w:val="00E45503"/>
    <w:rsid w:val="00E86843"/>
    <w:rsid w:val="00E94689"/>
    <w:rsid w:val="00EE783A"/>
    <w:rsid w:val="00EF64E0"/>
    <w:rsid w:val="00F33251"/>
    <w:rsid w:val="00F606C4"/>
    <w:rsid w:val="00FA5F4F"/>
    <w:rsid w:val="01063613"/>
    <w:rsid w:val="02304CB8"/>
    <w:rsid w:val="037538FB"/>
    <w:rsid w:val="04DE2D25"/>
    <w:rsid w:val="068F71E8"/>
    <w:rsid w:val="09A832C5"/>
    <w:rsid w:val="09FC0375"/>
    <w:rsid w:val="0F0173A0"/>
    <w:rsid w:val="13C47FB8"/>
    <w:rsid w:val="141F3D56"/>
    <w:rsid w:val="174A1E03"/>
    <w:rsid w:val="1B93750F"/>
    <w:rsid w:val="1E5A0D4C"/>
    <w:rsid w:val="1F6F01C0"/>
    <w:rsid w:val="1F791DC3"/>
    <w:rsid w:val="2ABD2904"/>
    <w:rsid w:val="2B637590"/>
    <w:rsid w:val="2DE238F9"/>
    <w:rsid w:val="2DF45098"/>
    <w:rsid w:val="2E7B3D22"/>
    <w:rsid w:val="2F2750E7"/>
    <w:rsid w:val="30CF0D4A"/>
    <w:rsid w:val="33D04B10"/>
    <w:rsid w:val="36D60C1D"/>
    <w:rsid w:val="3B5B4CD2"/>
    <w:rsid w:val="3BE05315"/>
    <w:rsid w:val="41A06FEC"/>
    <w:rsid w:val="44247021"/>
    <w:rsid w:val="471D4DC7"/>
    <w:rsid w:val="4D311EC0"/>
    <w:rsid w:val="4E5C11EC"/>
    <w:rsid w:val="4EFB678E"/>
    <w:rsid w:val="4F505B0A"/>
    <w:rsid w:val="533B56AA"/>
    <w:rsid w:val="53AC47FA"/>
    <w:rsid w:val="552222C6"/>
    <w:rsid w:val="583B0474"/>
    <w:rsid w:val="5C0C1242"/>
    <w:rsid w:val="5F880BAB"/>
    <w:rsid w:val="616B0170"/>
    <w:rsid w:val="668C3BBD"/>
    <w:rsid w:val="68F0088D"/>
    <w:rsid w:val="6BC17BFF"/>
    <w:rsid w:val="6E1F45FB"/>
    <w:rsid w:val="70730722"/>
    <w:rsid w:val="716371F9"/>
    <w:rsid w:val="71840999"/>
    <w:rsid w:val="72071122"/>
    <w:rsid w:val="752E4A2A"/>
    <w:rsid w:val="7A3759E5"/>
    <w:rsid w:val="7D6B53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482"/>
    </w:pPr>
    <w:rPr>
      <w:rFonts w:ascii="等线" w:hAnsi="等线" w:eastAsia="微软雅黑" w:cs="等线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9"/>
    <w:pPr>
      <w:keepNext/>
      <w:keepLines/>
      <w:spacing w:before="340" w:after="330"/>
      <w:jc w:val="center"/>
      <w:outlineLvl w:val="0"/>
    </w:pPr>
    <w:rPr>
      <w:b/>
      <w:bCs/>
      <w:kern w:val="44"/>
      <w:sz w:val="28"/>
      <w:szCs w:val="28"/>
    </w:rPr>
  </w:style>
  <w:style w:type="paragraph" w:styleId="3">
    <w:name w:val="heading 2"/>
    <w:basedOn w:val="4"/>
    <w:next w:val="1"/>
    <w:link w:val="13"/>
    <w:qFormat/>
    <w:uiPriority w:val="99"/>
    <w:pPr>
      <w:spacing w:beforeLines="50" w:after="0" w:line="415" w:lineRule="auto"/>
      <w:outlineLvl w:val="1"/>
    </w:pPr>
    <w:rPr>
      <w:rFonts w:ascii="等线 Light" w:hAnsi="等线 Light" w:cs="等线 Light"/>
      <w:sz w:val="28"/>
      <w:szCs w:val="28"/>
    </w:rPr>
  </w:style>
  <w:style w:type="paragraph" w:styleId="4">
    <w:name w:val="heading 3"/>
    <w:basedOn w:val="1"/>
    <w:next w:val="1"/>
    <w:link w:val="14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semiHidden/>
    <w:qFormat/>
    <w:uiPriority w:val="99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6"/>
    <w:uiPriority w:val="99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7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18"/>
    <w:qFormat/>
    <w:uiPriority w:val="99"/>
    <w:pPr>
      <w:spacing w:before="240" w:after="60" w:line="312" w:lineRule="auto"/>
      <w:jc w:val="center"/>
      <w:outlineLvl w:val="1"/>
    </w:pPr>
    <w:rPr>
      <w:rFonts w:eastAsia="仿宋"/>
      <w:b/>
      <w:bCs/>
      <w:kern w:val="28"/>
    </w:rPr>
  </w:style>
  <w:style w:type="table" w:styleId="10">
    <w:name w:val="Table Grid"/>
    <w:basedOn w:val="9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标题 1 Char"/>
    <w:link w:val="2"/>
    <w:locked/>
    <w:uiPriority w:val="99"/>
    <w:rPr>
      <w:rFonts w:eastAsia="微软雅黑"/>
      <w:b/>
      <w:bCs/>
      <w:kern w:val="44"/>
      <w:sz w:val="44"/>
      <w:szCs w:val="44"/>
    </w:rPr>
  </w:style>
  <w:style w:type="character" w:customStyle="1" w:styleId="13">
    <w:name w:val="标题 2 Char"/>
    <w:link w:val="3"/>
    <w:locked/>
    <w:uiPriority w:val="99"/>
    <w:rPr>
      <w:rFonts w:ascii="等线 Light" w:hAnsi="等线 Light" w:eastAsia="微软雅黑" w:cs="等线 Light"/>
      <w:b/>
      <w:bCs/>
      <w:sz w:val="32"/>
      <w:szCs w:val="32"/>
    </w:rPr>
  </w:style>
  <w:style w:type="character" w:customStyle="1" w:styleId="14">
    <w:name w:val="标题 3 Char"/>
    <w:link w:val="4"/>
    <w:semiHidden/>
    <w:locked/>
    <w:uiPriority w:val="99"/>
    <w:rPr>
      <w:b/>
      <w:bCs/>
      <w:sz w:val="32"/>
      <w:szCs w:val="32"/>
    </w:rPr>
  </w:style>
  <w:style w:type="character" w:customStyle="1" w:styleId="15">
    <w:name w:val="批注框文本 Char"/>
    <w:link w:val="5"/>
    <w:semiHidden/>
    <w:qFormat/>
    <w:locked/>
    <w:uiPriority w:val="99"/>
    <w:rPr>
      <w:rFonts w:ascii="等线" w:hAnsi="等线" w:eastAsia="微软雅黑" w:cs="等线"/>
      <w:kern w:val="2"/>
      <w:sz w:val="18"/>
      <w:szCs w:val="18"/>
    </w:rPr>
  </w:style>
  <w:style w:type="character" w:customStyle="1" w:styleId="16">
    <w:name w:val="页脚 Char"/>
    <w:link w:val="6"/>
    <w:qFormat/>
    <w:locked/>
    <w:uiPriority w:val="99"/>
    <w:rPr>
      <w:rFonts w:eastAsia="微软雅黑"/>
      <w:sz w:val="18"/>
      <w:szCs w:val="18"/>
    </w:rPr>
  </w:style>
  <w:style w:type="character" w:customStyle="1" w:styleId="17">
    <w:name w:val="页眉 Char"/>
    <w:link w:val="7"/>
    <w:qFormat/>
    <w:locked/>
    <w:uiPriority w:val="99"/>
    <w:rPr>
      <w:rFonts w:eastAsia="微软雅黑"/>
      <w:sz w:val="18"/>
      <w:szCs w:val="18"/>
    </w:rPr>
  </w:style>
  <w:style w:type="character" w:customStyle="1" w:styleId="18">
    <w:name w:val="副标题 Char"/>
    <w:link w:val="8"/>
    <w:qFormat/>
    <w:locked/>
    <w:uiPriority w:val="99"/>
    <w:rPr>
      <w:rFonts w:eastAsia="仿宋"/>
      <w:b/>
      <w:bCs/>
      <w:kern w:val="28"/>
      <w:sz w:val="32"/>
      <w:szCs w:val="32"/>
    </w:rPr>
  </w:style>
  <w:style w:type="character" w:customStyle="1" w:styleId="19">
    <w:name w:val="font11"/>
    <w:qFormat/>
    <w:uiPriority w:val="99"/>
    <w:rPr>
      <w:rFonts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21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2174</Words>
  <Characters>2231</Characters>
  <Lines>20</Lines>
  <Paragraphs>5</Paragraphs>
  <TotalTime>6</TotalTime>
  <ScaleCrop>false</ScaleCrop>
  <LinksUpToDate>false</LinksUpToDate>
  <CharactersWithSpaces>2234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2026-07-06T03:44:00Z</dcterms:created>
  <dc:creator>童颜</dc:creator>
  <cp:lastModifiedBy>三三</cp:lastModifiedBy>
  <cp:lastPrinted>2026-06-29T01:34:00Z</cp:lastPrinted>
  <dcterms:modified xsi:type="dcterms:W3CDTF">2026-08-05T03:47:16Z</dcterms:modified>
  <dc:title>附件二：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eyJoZGlkIjoiYzk0M2Q1NzhkYjdmYmM0ZTZiYWJiODNjMTczZjE2YTgiLCJ1c2VySWQiOiI2NjY0ODY2MzAifQ==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8D4432506C8947769E199B5A7411318E_12</vt:lpwstr>
  </property>
</Properties>
</file>