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D1889E">
      <w:pPr>
        <w:ind w:firstLine="0"/>
        <w:rPr>
          <w:rFonts w:hint="eastAsia" w:ascii="黑体" w:hAnsi="黑体" w:eastAsia="黑体" w:cs="黑体"/>
          <w:b w:val="0"/>
          <w:bCs w:val="0"/>
          <w:sz w:val="32"/>
          <w:szCs w:val="32"/>
        </w:rPr>
      </w:pPr>
      <w:r>
        <w:rPr>
          <w:rFonts w:hint="eastAsia" w:ascii="黑体" w:hAnsi="黑体" w:eastAsia="黑体" w:cs="黑体"/>
          <w:b w:val="0"/>
          <w:bCs w:val="0"/>
          <w:sz w:val="32"/>
          <w:szCs w:val="32"/>
        </w:rPr>
        <w:t>附件</w:t>
      </w:r>
      <w:r>
        <w:rPr>
          <w:rFonts w:hint="eastAsia" w:ascii="黑体" w:hAnsi="黑体" w:eastAsia="黑体" w:cs="黑体"/>
          <w:b w:val="0"/>
          <w:bCs w:val="0"/>
          <w:sz w:val="32"/>
          <w:szCs w:val="32"/>
          <w:lang w:val="en-US" w:eastAsia="zh-CN"/>
        </w:rPr>
        <w:t>1</w:t>
      </w:r>
    </w:p>
    <w:p w14:paraId="70E3FEFB">
      <w:pPr>
        <w:ind w:firstLine="0"/>
        <w:jc w:val="center"/>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适配“好房子”建设需要的“好门窗”大赛评选管理办法</w:t>
      </w:r>
    </w:p>
    <w:p w14:paraId="05017AE0">
      <w:pPr>
        <w:ind w:firstLine="0"/>
        <w:jc w:val="center"/>
        <w:rPr>
          <w:rFonts w:ascii="黑体" w:hAnsi="黑体" w:eastAsia="黑体" w:cs="Times New Roman"/>
          <w:b/>
          <w:bCs/>
          <w:sz w:val="32"/>
          <w:szCs w:val="32"/>
        </w:rPr>
      </w:pPr>
    </w:p>
    <w:p w14:paraId="1A27D4F3">
      <w:pPr>
        <w:ind w:firstLine="0"/>
        <w:jc w:val="center"/>
        <w:rPr>
          <w:rFonts w:ascii="黑体" w:hAnsi="黑体" w:eastAsia="黑体" w:cs="Times New Roman"/>
          <w:b w:val="0"/>
          <w:bCs w:val="0"/>
          <w:sz w:val="32"/>
          <w:szCs w:val="32"/>
        </w:rPr>
      </w:pPr>
      <w:r>
        <w:rPr>
          <w:rFonts w:hint="eastAsia" w:ascii="黑体" w:hAnsi="黑体" w:eastAsia="黑体" w:cs="黑体"/>
          <w:b w:val="0"/>
          <w:bCs w:val="0"/>
          <w:sz w:val="32"/>
          <w:szCs w:val="32"/>
        </w:rPr>
        <w:t>第一章</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总则</w:t>
      </w:r>
    </w:p>
    <w:p w14:paraId="75B6E76D">
      <w:pPr>
        <w:ind w:firstLine="566" w:firstLineChars="177"/>
        <w:jc w:val="both"/>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第一条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为全面贯彻落实国家高质量发展战略，落实住建部推动建设以“安全、舒适、绿色、智慧”为特征的“好房子”总体要求，提升和推广适配“好房子”建设需要的</w:t>
      </w:r>
      <w:bookmarkStart w:id="0" w:name="_Hlk215047769"/>
      <w:r>
        <w:rPr>
          <w:rFonts w:hint="eastAsia" w:ascii="仿宋_GB2312" w:hAnsi="仿宋_GB2312" w:eastAsia="仿宋_GB2312" w:cs="仿宋_GB2312"/>
          <w:sz w:val="32"/>
          <w:szCs w:val="32"/>
        </w:rPr>
        <w:t>“好门窗”</w:t>
      </w:r>
      <w:bookmarkEnd w:id="0"/>
      <w:r>
        <w:rPr>
          <w:rFonts w:hint="eastAsia" w:ascii="仿宋_GB2312" w:hAnsi="仿宋_GB2312" w:eastAsia="仿宋_GB2312" w:cs="仿宋_GB2312"/>
          <w:sz w:val="32"/>
          <w:szCs w:val="32"/>
        </w:rPr>
        <w:t>制定本办法。</w:t>
      </w:r>
    </w:p>
    <w:p w14:paraId="2F98AE2E">
      <w:pPr>
        <w:ind w:firstLine="566" w:firstLineChars="177"/>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“好门窗”大赛评选工作由中国建筑装饰协会幕墙门窗</w:t>
      </w:r>
      <w:r>
        <w:rPr>
          <w:rFonts w:hint="eastAsia" w:ascii="仿宋_GB2312" w:hAnsi="仿宋_GB2312" w:eastAsia="仿宋_GB2312" w:cs="仿宋_GB2312"/>
          <w:sz w:val="32"/>
          <w:szCs w:val="32"/>
        </w:rPr>
        <w:t>分会</w:t>
      </w:r>
      <w:r>
        <w:rPr>
          <w:rFonts w:hint="eastAsia" w:ascii="仿宋_GB2312" w:hAnsi="仿宋_GB2312" w:eastAsia="仿宋_GB2312" w:cs="仿宋_GB2312"/>
          <w:sz w:val="32"/>
          <w:szCs w:val="32"/>
        </w:rPr>
        <w:t>组织实施。</w:t>
      </w:r>
    </w:p>
    <w:p w14:paraId="0B7DCA82">
      <w:pPr>
        <w:ind w:firstLine="566" w:firstLineChars="177"/>
        <w:jc w:val="both"/>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申报“好门窗”应符合国家相关标准和规范要求，手续及资料完备，工程质量和装饰装修效果优良，适合当地气候特点，有效解决工程中渗漏水、隔音差、能耗高、寿命短、存在安全隐患等问题，实现安全、舒适、绿色、智慧等功能。</w:t>
      </w:r>
    </w:p>
    <w:p w14:paraId="2BD2F7B9">
      <w:pPr>
        <w:ind w:firstLine="566" w:firstLineChars="177"/>
        <w:jc w:val="both"/>
        <w:rPr>
          <w:rFonts w:ascii="仿宋" w:hAnsi="仿宋" w:eastAsia="仿宋" w:cs="Times New Roman"/>
          <w:sz w:val="32"/>
          <w:szCs w:val="32"/>
        </w:rPr>
      </w:pPr>
      <w:r>
        <w:rPr>
          <w:rFonts w:hint="eastAsia" w:ascii="楷体_GB2312" w:hAnsi="楷体_GB2312" w:eastAsia="楷体_GB2312" w:cs="楷体_GB2312"/>
          <w:sz w:val="32"/>
          <w:szCs w:val="32"/>
        </w:rPr>
        <w:t>第三条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“好门窗”大赛工程包括“好门窗”工程类和“好门窗”产品类两个类别。</w:t>
      </w:r>
    </w:p>
    <w:p w14:paraId="7A3DDD3D">
      <w:pPr>
        <w:ind w:firstLine="566" w:firstLineChars="177"/>
        <w:jc w:val="both"/>
        <w:rPr>
          <w:rFonts w:ascii="仿宋" w:hAnsi="仿宋" w:eastAsia="仿宋" w:cs="Times New Roman"/>
          <w:sz w:val="32"/>
          <w:szCs w:val="32"/>
        </w:rPr>
      </w:pPr>
      <w:r>
        <w:rPr>
          <w:rFonts w:hint="eastAsia" w:ascii="楷体_GB2312" w:hAnsi="楷体_GB2312" w:eastAsia="楷体_GB2312" w:cs="楷体_GB2312"/>
          <w:sz w:val="32"/>
          <w:szCs w:val="32"/>
        </w:rPr>
        <w:t>第四条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“好门窗”评选活动每年举办一次，实行企业自愿申报原则，不收取任何费用。</w:t>
      </w:r>
    </w:p>
    <w:p w14:paraId="359B7C07">
      <w:pPr>
        <w:ind w:firstLine="0"/>
        <w:jc w:val="center"/>
        <w:rPr>
          <w:rFonts w:ascii="黑体" w:hAnsi="黑体" w:eastAsia="黑体" w:cs="Times New Roman"/>
          <w:b/>
          <w:bCs/>
          <w:sz w:val="32"/>
          <w:szCs w:val="32"/>
        </w:rPr>
      </w:pPr>
    </w:p>
    <w:p w14:paraId="64DF7059">
      <w:pPr>
        <w:ind w:firstLine="0"/>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第二章</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申报范围和要求</w:t>
      </w:r>
    </w:p>
    <w:p w14:paraId="0F86025D">
      <w:pPr>
        <w:ind w:firstLine="566" w:firstLineChars="177"/>
        <w:jc w:val="both"/>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第五条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“好门窗”大赛的申报范围如下：</w:t>
      </w:r>
    </w:p>
    <w:p w14:paraId="6CF3F6B5">
      <w:pPr>
        <w:ind w:firstLine="566" w:firstLineChars="177"/>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（一）“好</w:t>
      </w:r>
      <w:bookmarkStart w:id="1" w:name="_Hlk216344275"/>
      <w:r>
        <w:rPr>
          <w:rFonts w:hint="eastAsia" w:ascii="仿宋_GB2312" w:hAnsi="仿宋_GB2312" w:eastAsia="仿宋_GB2312" w:cs="仿宋_GB2312"/>
          <w:sz w:val="32"/>
          <w:szCs w:val="32"/>
        </w:rPr>
        <w:t>门窗</w:t>
      </w:r>
      <w:bookmarkEnd w:id="1"/>
      <w:r>
        <w:rPr>
          <w:rFonts w:hint="eastAsia" w:ascii="仿宋_GB2312" w:hAnsi="仿宋_GB2312" w:eastAsia="仿宋_GB2312" w:cs="仿宋_GB2312"/>
          <w:sz w:val="32"/>
          <w:szCs w:val="32"/>
        </w:rPr>
        <w:t>”工程类：</w:t>
      </w:r>
    </w:p>
    <w:p w14:paraId="0463B90C">
      <w:pPr>
        <w:ind w:firstLine="566" w:firstLineChars="177"/>
        <w:jc w:val="both"/>
        <w:rPr>
          <w:rFonts w:hint="eastAsia" w:ascii="仿宋_GB2312" w:hAnsi="仿宋_GB2312" w:eastAsia="仿宋_GB2312" w:cs="仿宋_GB2312"/>
          <w:sz w:val="32"/>
          <w:szCs w:val="32"/>
        </w:rPr>
      </w:pPr>
      <w:bookmarkStart w:id="2" w:name="_Hlk216344102"/>
      <w:r>
        <w:rPr>
          <w:rFonts w:hint="eastAsia" w:ascii="仿宋_GB2312" w:hAnsi="仿宋_GB2312" w:eastAsia="仿宋_GB2312" w:cs="仿宋_GB2312"/>
          <w:sz w:val="32"/>
          <w:szCs w:val="32"/>
        </w:rPr>
        <w:t>新建工程</w:t>
      </w:r>
      <w:bookmarkStart w:id="3" w:name="_Hlk216344450"/>
      <w:r>
        <w:rPr>
          <w:rFonts w:hint="eastAsia" w:ascii="仿宋_GB2312" w:hAnsi="仿宋_GB2312" w:eastAsia="仿宋_GB2312" w:cs="仿宋_GB2312"/>
          <w:sz w:val="32"/>
          <w:szCs w:val="32"/>
        </w:rPr>
        <w:t>合同金额或结算金额不低于100万元（此金额不含设备购置及安装费用，下同），且装饰面积不低于1000㎡。</w:t>
      </w:r>
      <w:bookmarkEnd w:id="3"/>
    </w:p>
    <w:bookmarkEnd w:id="2"/>
    <w:p w14:paraId="3D87C1E6">
      <w:pPr>
        <w:ind w:firstLine="566" w:firstLineChars="177"/>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改</w:t>
      </w:r>
      <w:r>
        <w:rPr>
          <w:rFonts w:hint="eastAsia" w:ascii="仿宋_GB2312" w:hAnsi="仿宋_GB2312" w:eastAsia="仿宋_GB2312" w:cs="仿宋_GB2312"/>
          <w:sz w:val="32"/>
          <w:szCs w:val="32"/>
        </w:rPr>
        <w:t>（扩）</w:t>
      </w:r>
      <w:r>
        <w:rPr>
          <w:rFonts w:hint="eastAsia" w:ascii="仿宋_GB2312" w:hAnsi="仿宋_GB2312" w:eastAsia="仿宋_GB2312" w:cs="仿宋_GB2312"/>
          <w:sz w:val="32"/>
          <w:szCs w:val="32"/>
        </w:rPr>
        <w:t>建工程合同金额或结算金额不低于50万元，且装饰面积不低于500㎡。</w:t>
      </w:r>
    </w:p>
    <w:p w14:paraId="2533DAF2">
      <w:pPr>
        <w:ind w:firstLine="566" w:firstLineChars="177"/>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用于非公建工程的门窗，同一产品在同一地区近一年内使用，累计合同金额或结算金额不低于100万元，且装饰面积不低于1000㎡。</w:t>
      </w:r>
    </w:p>
    <w:p w14:paraId="18D8A8B4">
      <w:pPr>
        <w:ind w:firstLine="566" w:firstLineChars="177"/>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（二）“好门窗”产品类：</w:t>
      </w:r>
    </w:p>
    <w:p w14:paraId="7C73BEDF">
      <w:pPr>
        <w:ind w:firstLine="566" w:firstLineChars="177"/>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“好门窗”产品需定型一年以上，具有型式检验报告，且推广应用不少于500㎡。</w:t>
      </w:r>
    </w:p>
    <w:p w14:paraId="2D5A52C2">
      <w:pPr>
        <w:ind w:firstLine="566" w:firstLineChars="177"/>
        <w:jc w:val="both"/>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第六条</w:t>
      </w:r>
      <w:r>
        <w:rPr>
          <w:rFonts w:hint="eastAsia" w:ascii="楷体_GB2312" w:hAnsi="楷体_GB2312" w:eastAsia="楷体_GB2312" w:cs="楷体_GB2312"/>
          <w:sz w:val="32"/>
          <w:szCs w:val="32"/>
          <w:lang w:val="en-US" w:eastAsia="zh-CN"/>
        </w:rPr>
        <w:t xml:space="preserve">  </w:t>
      </w:r>
      <w:r>
        <w:rPr>
          <w:rFonts w:hint="eastAsia" w:ascii="仿宋" w:hAnsi="仿宋" w:eastAsia="仿宋" w:cs="仿宋"/>
          <w:sz w:val="32"/>
          <w:szCs w:val="32"/>
        </w:rPr>
        <w:t>申</w:t>
      </w:r>
      <w:r>
        <w:rPr>
          <w:rFonts w:hint="eastAsia" w:ascii="仿宋_GB2312" w:hAnsi="仿宋_GB2312" w:eastAsia="仿宋_GB2312" w:cs="仿宋_GB2312"/>
          <w:sz w:val="32"/>
          <w:szCs w:val="32"/>
        </w:rPr>
        <w:t>报的门窗工程须通过竣工验收，且经过一年以上使用，在此期间未发现质量、节能缺陷或安全隐患，施工过程也未出现质量和安全事故。</w:t>
      </w:r>
    </w:p>
    <w:p w14:paraId="1BA41FF6">
      <w:pPr>
        <w:ind w:firstLine="566" w:firstLineChars="177"/>
        <w:jc w:val="both"/>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第七条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应积极开展科技创新工作，大力推行绿色建造与智能建造模式；积极采用新技术、新工艺、新材料以及新设备。</w:t>
      </w:r>
    </w:p>
    <w:p w14:paraId="1DFFD5D6">
      <w:pPr>
        <w:ind w:firstLine="566" w:firstLineChars="177"/>
        <w:jc w:val="both"/>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第八条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申报的门窗所使用的各类门窗材料，均应符合国家、行业标准和设计要求，满足环境质量与节能要求，所提供的检测及复验报告也应符合相关规定。</w:t>
      </w:r>
    </w:p>
    <w:p w14:paraId="3A5F12AB">
      <w:pPr>
        <w:ind w:firstLine="566" w:firstLineChars="177"/>
        <w:jc w:val="both"/>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第九条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申报的门窗应符合国家节能减排方面的相关标准。</w:t>
      </w:r>
    </w:p>
    <w:p w14:paraId="36D902B2">
      <w:pPr>
        <w:ind w:firstLine="566" w:firstLineChars="177"/>
        <w:jc w:val="both"/>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第十条</w:t>
      </w:r>
      <w:bookmarkStart w:id="4" w:name="_Hlk216431274"/>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申报</w:t>
      </w:r>
      <w:bookmarkEnd w:id="4"/>
      <w:r>
        <w:rPr>
          <w:rFonts w:hint="eastAsia" w:ascii="仿宋_GB2312" w:hAnsi="仿宋_GB2312" w:eastAsia="仿宋_GB2312" w:cs="仿宋_GB2312"/>
          <w:sz w:val="32"/>
          <w:szCs w:val="32"/>
        </w:rPr>
        <w:t>单位应与有关单位签订有效的工程合同。</w:t>
      </w:r>
    </w:p>
    <w:p w14:paraId="49A73BEE">
      <w:pPr>
        <w:ind w:firstLine="566" w:firstLineChars="177"/>
        <w:jc w:val="both"/>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第十一条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申报项目应为申报单位自行设计或施工的项目，且过程资料需以申报单位的名义进行编写组卷。</w:t>
      </w:r>
    </w:p>
    <w:p w14:paraId="57BC069C">
      <w:pPr>
        <w:ind w:firstLine="566" w:firstLineChars="177"/>
        <w:jc w:val="both"/>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第十二条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若申报工程为总承包工程中的专业分包项目，申报单位可使用与总承包单位之间的招投标资料，以及总承包单位的施工许可证、消防验收报告、竣工备案证明等必要文件。</w:t>
      </w:r>
    </w:p>
    <w:p w14:paraId="048FA886">
      <w:pPr>
        <w:ind w:firstLine="566" w:firstLineChars="177"/>
        <w:jc w:val="both"/>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第十三条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下列门窗工程不列入申报评选范围：</w:t>
      </w:r>
    </w:p>
    <w:p w14:paraId="57E5F377">
      <w:pPr>
        <w:ind w:firstLine="566" w:firstLineChars="177"/>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（一）已申报过</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好门窗”而未评上的工程；</w:t>
      </w:r>
    </w:p>
    <w:p w14:paraId="6AC942F4">
      <w:pPr>
        <w:ind w:firstLine="566" w:firstLineChars="177"/>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（二）发生质量安全责任事故的工程。</w:t>
      </w:r>
    </w:p>
    <w:p w14:paraId="0A02AD54">
      <w:pPr>
        <w:ind w:firstLine="566" w:firstLineChars="177"/>
        <w:jc w:val="both"/>
        <w:rPr>
          <w:rFonts w:ascii="仿宋" w:hAnsi="仿宋" w:eastAsia="仿宋" w:cs="Times New Roman"/>
          <w:sz w:val="32"/>
          <w:szCs w:val="32"/>
        </w:rPr>
      </w:pPr>
    </w:p>
    <w:p w14:paraId="22CCDCBF">
      <w:pPr>
        <w:ind w:firstLine="0"/>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第三章</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申报程序和资料要求</w:t>
      </w:r>
    </w:p>
    <w:p w14:paraId="5A59412E">
      <w:pPr>
        <w:ind w:firstLine="566" w:firstLineChars="177"/>
        <w:jc w:val="both"/>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第十四条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“好门窗”的申报程序：</w:t>
      </w:r>
    </w:p>
    <w:p w14:paraId="5F95901A">
      <w:pPr>
        <w:ind w:firstLine="566" w:firstLineChars="177"/>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符合申报范围和要求的工程项目，</w:t>
      </w:r>
      <w:bookmarkStart w:id="7" w:name="_GoBack"/>
      <w:r>
        <w:rPr>
          <w:rFonts w:hint="eastAsia" w:ascii="仿宋_GB2312" w:hAnsi="仿宋_GB2312" w:eastAsia="仿宋_GB2312" w:cs="仿宋_GB2312"/>
          <w:sz w:val="32"/>
          <w:szCs w:val="32"/>
        </w:rPr>
        <w:t>申报单位应统一从中国建筑装饰协会官网（www.zzx.1984.org.cn)下载“好门窗”申报表，并在规定时间内向中装协门窗幕墙分会申报。</w:t>
      </w:r>
    </w:p>
    <w:bookmarkEnd w:id="7"/>
    <w:p w14:paraId="0B0D5ACC">
      <w:pPr>
        <w:ind w:firstLine="566" w:firstLineChars="177"/>
        <w:jc w:val="both"/>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第十五条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“好门窗”的申报资料要求：</w:t>
      </w:r>
    </w:p>
    <w:p w14:paraId="7335EC4A">
      <w:pPr>
        <w:ind w:firstLine="566" w:firstLineChars="177"/>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申报单位所提供的资料分为纸质版资料和电子版资料两部分，具体要求见工作通知。</w:t>
      </w:r>
    </w:p>
    <w:p w14:paraId="11782877">
      <w:pPr>
        <w:ind w:firstLine="566" w:firstLineChars="177"/>
        <w:jc w:val="both"/>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第十六条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所有申报资料一律不予退还，各申报单位需自行留存原件，以备查验。申报单位对所提供的所有资料的真实性、合法性、有效性负责。</w:t>
      </w:r>
    </w:p>
    <w:p w14:paraId="5130514B">
      <w:pPr>
        <w:ind w:firstLine="566" w:firstLineChars="177"/>
        <w:jc w:val="both"/>
        <w:rPr>
          <w:rFonts w:ascii="仿宋" w:hAnsi="仿宋" w:eastAsia="仿宋" w:cs="Times New Roman"/>
          <w:sz w:val="32"/>
          <w:szCs w:val="32"/>
        </w:rPr>
      </w:pPr>
    </w:p>
    <w:p w14:paraId="709E4D4B">
      <w:pPr>
        <w:ind w:firstLine="0"/>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第四章</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评审</w:t>
      </w:r>
    </w:p>
    <w:p w14:paraId="5981FA44">
      <w:pPr>
        <w:ind w:firstLine="566" w:firstLineChars="177"/>
        <w:jc w:val="both"/>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第十七条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评审工作包括初评和终评两个阶段。</w:t>
      </w:r>
    </w:p>
    <w:p w14:paraId="2FDD65AB">
      <w:pPr>
        <w:ind w:firstLine="566" w:firstLineChars="177"/>
        <w:jc w:val="both"/>
        <w:rPr>
          <w:rFonts w:ascii="仿宋" w:hAnsi="仿宋" w:eastAsia="仿宋" w:cs="仿宋"/>
          <w:sz w:val="32"/>
          <w:szCs w:val="32"/>
        </w:rPr>
      </w:pPr>
      <w:r>
        <w:rPr>
          <w:rFonts w:hint="eastAsia" w:ascii="楷体_GB2312" w:hAnsi="楷体_GB2312" w:eastAsia="楷体_GB2312" w:cs="楷体_GB2312"/>
          <w:sz w:val="32"/>
          <w:szCs w:val="32"/>
        </w:rPr>
        <w:t>第十八条</w:t>
      </w:r>
      <w:bookmarkStart w:id="5" w:name="_Hlk216431730"/>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中装协</w:t>
      </w:r>
      <w:bookmarkEnd w:id="5"/>
      <w:r>
        <w:rPr>
          <w:rFonts w:hint="eastAsia" w:ascii="仿宋_GB2312" w:hAnsi="仿宋_GB2312" w:eastAsia="仿宋_GB2312" w:cs="仿宋_GB2312"/>
          <w:sz w:val="32"/>
          <w:szCs w:val="32"/>
        </w:rPr>
        <w:t>幕墙门窗分会设立初评委员会，该委员会成员由协会和支持单位领导、行业资深专家组成。</w:t>
      </w:r>
    </w:p>
    <w:p w14:paraId="173DCB7D">
      <w:pPr>
        <w:ind w:firstLine="566" w:firstLineChars="177"/>
        <w:jc w:val="both"/>
        <w:rPr>
          <w:rFonts w:hint="eastAsia" w:ascii="仿宋_GB2312" w:hAnsi="仿宋_GB2312" w:eastAsia="仿宋_GB2312" w:cs="仿宋_GB2312"/>
          <w:sz w:val="32"/>
          <w:szCs w:val="32"/>
        </w:rPr>
      </w:pPr>
      <w:bookmarkStart w:id="6" w:name="_Hlk216451830"/>
      <w:r>
        <w:rPr>
          <w:rFonts w:hint="eastAsia" w:ascii="楷体_GB2312" w:hAnsi="楷体_GB2312" w:eastAsia="楷体_GB2312" w:cs="楷体_GB2312"/>
          <w:sz w:val="32"/>
          <w:szCs w:val="32"/>
        </w:rPr>
        <w:t>第十九条</w:t>
      </w:r>
      <w:bookmarkEnd w:id="6"/>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评委会通过观看工程影像资料、审查申报资料依据</w:t>
      </w:r>
      <w:r>
        <w:rPr>
          <w:rFonts w:hint="eastAsia" w:ascii="仿宋_GB2312" w:hAnsi="仿宋_GB2312" w:eastAsia="仿宋_GB2312" w:cs="仿宋_GB2312"/>
          <w:b w:val="0"/>
          <w:bCs w:val="0"/>
          <w:sz w:val="32"/>
          <w:szCs w:val="32"/>
        </w:rPr>
        <w:t>评分细则打分</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以及开展质询评议等环节，最终以投票方式评选出入选工程，且同一企业作为承建单位每次每类别获奖项目数量不得超过3项。</w:t>
      </w:r>
    </w:p>
    <w:p w14:paraId="072DFFF0">
      <w:pPr>
        <w:ind w:firstLine="566" w:firstLineChars="177"/>
        <w:jc w:val="both"/>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大赛结果报经中国建筑装饰协会审核后，在“中国建筑装饰协会官网”及协会媒体上公示、发布。</w:t>
      </w:r>
    </w:p>
    <w:p w14:paraId="3FC89428">
      <w:pPr>
        <w:ind w:firstLine="566" w:firstLineChars="177"/>
        <w:jc w:val="both"/>
        <w:rPr>
          <w:rFonts w:ascii="黑体" w:hAnsi="黑体" w:eastAsia="黑体" w:cs="Times New Roman"/>
          <w:sz w:val="32"/>
          <w:szCs w:val="32"/>
        </w:rPr>
      </w:pPr>
    </w:p>
    <w:p w14:paraId="451B1405">
      <w:pPr>
        <w:ind w:firstLine="0"/>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第五章</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终评</w:t>
      </w:r>
    </w:p>
    <w:p w14:paraId="5C655A5D">
      <w:pPr>
        <w:ind w:firstLine="566" w:firstLineChars="177"/>
        <w:jc w:val="both"/>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第二十一条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中装协幕墙门窗分会每年组织召开颁奖大会，向荣获“好门窗”的承建单位授予获奖证书。获奖名单将以项目名称为单位公布。</w:t>
      </w:r>
    </w:p>
    <w:p w14:paraId="582963BA">
      <w:pPr>
        <w:ind w:firstLine="566" w:firstLineChars="177"/>
        <w:jc w:val="both"/>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第二十二条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为充分发挥“好门窗”的示范引领作用，促进工程质量、绿色和智能建造水平的提高，中装协幕墙门窗分会将适时开展有关活动，对经验进行交流和推广。</w:t>
      </w:r>
    </w:p>
    <w:p w14:paraId="06BB6969">
      <w:pPr>
        <w:ind w:firstLine="566" w:firstLineChars="177"/>
        <w:jc w:val="both"/>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第二十三条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若奖励获得者存在严重违纪违法行为、造成恶劣影响或隐瞒相关情况的，中装协将依据相关规定，撤销其因获奖享有的相应待遇，并进行公告。</w:t>
      </w:r>
    </w:p>
    <w:p w14:paraId="50696DD9">
      <w:pPr>
        <w:ind w:firstLine="566" w:firstLineChars="177"/>
        <w:jc w:val="both"/>
        <w:rPr>
          <w:rFonts w:hint="eastAsia" w:ascii="仿宋_GB2312" w:hAnsi="仿宋_GB2312" w:eastAsia="仿宋_GB2312" w:cs="仿宋_GB2312"/>
          <w:sz w:val="32"/>
          <w:szCs w:val="32"/>
        </w:rPr>
      </w:pPr>
    </w:p>
    <w:p w14:paraId="130E53C1">
      <w:pPr>
        <w:ind w:firstLine="0"/>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第六章</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纪律</w:t>
      </w:r>
    </w:p>
    <w:p w14:paraId="65F691A8">
      <w:pPr>
        <w:ind w:firstLine="566" w:firstLineChars="177"/>
        <w:jc w:val="both"/>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第二十四条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为了保证评选工作的公平、公正、公开，由中装协专项工作领导小组监督指导评选工作。</w:t>
      </w:r>
    </w:p>
    <w:p w14:paraId="2DE56B89">
      <w:pPr>
        <w:ind w:firstLine="566" w:firstLineChars="177"/>
        <w:jc w:val="both"/>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第二十五条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申报单位应签署《中国建筑装饰协会中国建筑工程“好门窗”申报单位承诺书》，如实提供工程情况和相关资料，不得弄虚作假,对违反规定的单位，一经查实，取消其参评资格。</w:t>
      </w:r>
    </w:p>
    <w:p w14:paraId="6A3AE613">
      <w:pPr>
        <w:ind w:firstLine="566" w:firstLineChars="177"/>
        <w:jc w:val="both"/>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第二十六条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参加“好门窗”评选及监督指导的工作人员和评审专家要严格遵守中装协的纪律和保密规定。对违反本办法及有关纪律规定的专家和评审委员，将取消其评审资格，并终身不得再进入中装协专家库。</w:t>
      </w:r>
    </w:p>
    <w:p w14:paraId="1BFF39AC">
      <w:pPr>
        <w:ind w:firstLine="0"/>
        <w:jc w:val="both"/>
        <w:rPr>
          <w:rFonts w:ascii="仿宋" w:hAnsi="仿宋" w:eastAsia="仿宋" w:cs="Times New Roman"/>
          <w:sz w:val="32"/>
          <w:szCs w:val="32"/>
        </w:rPr>
      </w:pPr>
    </w:p>
    <w:p w14:paraId="38911CCB">
      <w:pPr>
        <w:ind w:firstLine="0"/>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第七章</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附则</w:t>
      </w:r>
    </w:p>
    <w:p w14:paraId="594C24DD">
      <w:pPr>
        <w:ind w:firstLine="566" w:firstLineChars="177"/>
        <w:jc w:val="both"/>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第二十七条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本办法由中国建筑装饰协会幕墙门窗分会负责解释。</w:t>
      </w:r>
    </w:p>
    <w:p w14:paraId="0FB611D5">
      <w:pPr>
        <w:ind w:firstLine="566" w:firstLineChars="177"/>
        <w:jc w:val="both"/>
        <w:rPr>
          <w:rFonts w:ascii="仿宋" w:hAnsi="仿宋" w:eastAsia="仿宋" w:cs="Times New Roman"/>
          <w:sz w:val="32"/>
          <w:szCs w:val="32"/>
        </w:rPr>
      </w:pPr>
      <w:r>
        <w:rPr>
          <w:rFonts w:hint="eastAsia" w:ascii="楷体_GB2312" w:hAnsi="楷体_GB2312" w:eastAsia="楷体_GB2312" w:cs="楷体_GB2312"/>
          <w:sz w:val="32"/>
          <w:szCs w:val="32"/>
        </w:rPr>
        <w:t>第二十八条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本办法自发布之日起施行。</w:t>
      </w:r>
    </w:p>
    <w:p w14:paraId="41180A89">
      <w:pPr>
        <w:ind w:firstLine="566" w:firstLineChars="177"/>
        <w:jc w:val="both"/>
        <w:rPr>
          <w:rFonts w:ascii="仿宋" w:hAnsi="仿宋" w:eastAsia="仿宋" w:cs="Times New Roman"/>
          <w:sz w:val="32"/>
          <w:szCs w:val="32"/>
        </w:rPr>
      </w:pPr>
    </w:p>
    <w:p w14:paraId="3B0D163D">
      <w:pPr>
        <w:ind w:firstLine="566" w:firstLineChars="177"/>
        <w:jc w:val="both"/>
        <w:rPr>
          <w:rFonts w:ascii="仿宋" w:hAnsi="仿宋" w:eastAsia="仿宋" w:cs="Times New Roman"/>
          <w:sz w:val="32"/>
          <w:szCs w:val="32"/>
        </w:rPr>
      </w:pPr>
    </w:p>
    <w:sectPr>
      <w:footerReference r:id="rId5" w:type="default"/>
      <w:pgSz w:w="11906" w:h="16838"/>
      <w:pgMar w:top="1440" w:right="1474" w:bottom="1440" w:left="1587"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楷体_GB2312">
    <w:panose1 w:val="02000000000000000000"/>
    <w:charset w:val="86"/>
    <w:family w:val="auto"/>
    <w:pitch w:val="default"/>
    <w:sig w:usb0="A00002BF" w:usb1="184F6CFA" w:usb2="00000012"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B3B975">
    <w:pPr>
      <w:pStyle w:val="6"/>
      <w:jc w:val="center"/>
      <w:rPr>
        <w:rFonts w:cs="Times New Roman"/>
      </w:rPr>
    </w:pPr>
  </w:p>
  <w:p w14:paraId="6F33988D">
    <w:pPr>
      <w:pStyle w:val="6"/>
      <w:rPr>
        <w:rFonts w:cs="Times New Roman"/>
      </w:rPr>
    </w:pPr>
    <w:r>
      <w:rPr>
        <w:sz w:val="18"/>
      </w:rPr>
      <w:pict>
        <v:shape id="_x0000_s3073" o:spid="_x0000_s3073" o:spt="202" type="#_x0000_t202" style="position:absolute;left:0pt;margin-top:6.6pt;height:20.7pt;width:68.55pt;mso-position-horizontal:outside;mso-position-horizontal-relative:margin;z-index:251659264;mso-width-relative:page;mso-height-relative:page;" filled="f" stroked="f" coordsize="21600,21600">
          <v:path/>
          <v:fill on="f" focussize="0,0"/>
          <v:stroke on="f"/>
          <v:imagedata o:title=""/>
          <o:lock v:ext="edit" aspectratio="f"/>
          <v:textbox inset="0mm,0mm,0mm,0mm">
            <w:txbxContent>
              <w:p w14:paraId="6D7E584A">
                <w:pPr>
                  <w:pStyle w:val="6"/>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0F4887"/>
    <w:rsid w:val="00004FF8"/>
    <w:rsid w:val="0001792A"/>
    <w:rsid w:val="000236A5"/>
    <w:rsid w:val="00045CBA"/>
    <w:rsid w:val="000906AE"/>
    <w:rsid w:val="000C4823"/>
    <w:rsid w:val="000D03BE"/>
    <w:rsid w:val="000E3F87"/>
    <w:rsid w:val="000F4887"/>
    <w:rsid w:val="001148A1"/>
    <w:rsid w:val="001346F8"/>
    <w:rsid w:val="00134C82"/>
    <w:rsid w:val="0015224F"/>
    <w:rsid w:val="0015768C"/>
    <w:rsid w:val="001B4DDD"/>
    <w:rsid w:val="001C27E0"/>
    <w:rsid w:val="00201259"/>
    <w:rsid w:val="0020149F"/>
    <w:rsid w:val="00223D69"/>
    <w:rsid w:val="00255B92"/>
    <w:rsid w:val="0026231B"/>
    <w:rsid w:val="002623EE"/>
    <w:rsid w:val="00283452"/>
    <w:rsid w:val="00286897"/>
    <w:rsid w:val="00296E85"/>
    <w:rsid w:val="002A6D43"/>
    <w:rsid w:val="002C40A6"/>
    <w:rsid w:val="002D09C1"/>
    <w:rsid w:val="002E0B5D"/>
    <w:rsid w:val="002E4310"/>
    <w:rsid w:val="002F2989"/>
    <w:rsid w:val="002F5332"/>
    <w:rsid w:val="00301F49"/>
    <w:rsid w:val="0030238B"/>
    <w:rsid w:val="00314FE7"/>
    <w:rsid w:val="0031582B"/>
    <w:rsid w:val="0037304D"/>
    <w:rsid w:val="003F7D73"/>
    <w:rsid w:val="004021C2"/>
    <w:rsid w:val="00413CF6"/>
    <w:rsid w:val="00421A16"/>
    <w:rsid w:val="0042626B"/>
    <w:rsid w:val="00434214"/>
    <w:rsid w:val="00466164"/>
    <w:rsid w:val="0047171F"/>
    <w:rsid w:val="0048000D"/>
    <w:rsid w:val="004B7F39"/>
    <w:rsid w:val="004D0B11"/>
    <w:rsid w:val="00536FFD"/>
    <w:rsid w:val="00544743"/>
    <w:rsid w:val="00544A75"/>
    <w:rsid w:val="00545631"/>
    <w:rsid w:val="00576550"/>
    <w:rsid w:val="00591695"/>
    <w:rsid w:val="005A74D1"/>
    <w:rsid w:val="005C6872"/>
    <w:rsid w:val="005C7B90"/>
    <w:rsid w:val="005D3BB1"/>
    <w:rsid w:val="0060356D"/>
    <w:rsid w:val="00697D13"/>
    <w:rsid w:val="006B35E0"/>
    <w:rsid w:val="006B6E79"/>
    <w:rsid w:val="006C1D36"/>
    <w:rsid w:val="006D1337"/>
    <w:rsid w:val="006D5E62"/>
    <w:rsid w:val="006F6298"/>
    <w:rsid w:val="00752678"/>
    <w:rsid w:val="00761576"/>
    <w:rsid w:val="00763980"/>
    <w:rsid w:val="007708B4"/>
    <w:rsid w:val="007933DB"/>
    <w:rsid w:val="007D1659"/>
    <w:rsid w:val="007E5770"/>
    <w:rsid w:val="007E5FC5"/>
    <w:rsid w:val="00806438"/>
    <w:rsid w:val="00837E50"/>
    <w:rsid w:val="00861190"/>
    <w:rsid w:val="008638F6"/>
    <w:rsid w:val="00865685"/>
    <w:rsid w:val="008A4A17"/>
    <w:rsid w:val="008C56D4"/>
    <w:rsid w:val="008E16A8"/>
    <w:rsid w:val="008E5EDB"/>
    <w:rsid w:val="0092027F"/>
    <w:rsid w:val="00980011"/>
    <w:rsid w:val="009901D5"/>
    <w:rsid w:val="00993075"/>
    <w:rsid w:val="009D5435"/>
    <w:rsid w:val="009E23F4"/>
    <w:rsid w:val="00A06632"/>
    <w:rsid w:val="00A24C74"/>
    <w:rsid w:val="00A33D3C"/>
    <w:rsid w:val="00A9137A"/>
    <w:rsid w:val="00A9206D"/>
    <w:rsid w:val="00AB75DE"/>
    <w:rsid w:val="00AC6296"/>
    <w:rsid w:val="00B064A2"/>
    <w:rsid w:val="00B23F18"/>
    <w:rsid w:val="00B31FE5"/>
    <w:rsid w:val="00B32F68"/>
    <w:rsid w:val="00B57D9E"/>
    <w:rsid w:val="00B63E81"/>
    <w:rsid w:val="00BA7E37"/>
    <w:rsid w:val="00BE2F07"/>
    <w:rsid w:val="00BE3D86"/>
    <w:rsid w:val="00BF4606"/>
    <w:rsid w:val="00C53F40"/>
    <w:rsid w:val="00C54AC0"/>
    <w:rsid w:val="00C60338"/>
    <w:rsid w:val="00C65427"/>
    <w:rsid w:val="00C67BFC"/>
    <w:rsid w:val="00CB23C4"/>
    <w:rsid w:val="00CB46F4"/>
    <w:rsid w:val="00CC7DBA"/>
    <w:rsid w:val="00D2182C"/>
    <w:rsid w:val="00D304B9"/>
    <w:rsid w:val="00D30509"/>
    <w:rsid w:val="00D460AB"/>
    <w:rsid w:val="00D90422"/>
    <w:rsid w:val="00D93F93"/>
    <w:rsid w:val="00DB2449"/>
    <w:rsid w:val="00DF2D76"/>
    <w:rsid w:val="00E251D7"/>
    <w:rsid w:val="00E5230B"/>
    <w:rsid w:val="00E70CD0"/>
    <w:rsid w:val="00ED0CDB"/>
    <w:rsid w:val="00ED1110"/>
    <w:rsid w:val="00EF434D"/>
    <w:rsid w:val="00F2390D"/>
    <w:rsid w:val="00F31D3E"/>
    <w:rsid w:val="00F677BC"/>
    <w:rsid w:val="00F7197D"/>
    <w:rsid w:val="00FA7DAA"/>
    <w:rsid w:val="00FE11E7"/>
    <w:rsid w:val="00FE33CD"/>
    <w:rsid w:val="00FF7E9E"/>
    <w:rsid w:val="029A3512"/>
    <w:rsid w:val="056F47F6"/>
    <w:rsid w:val="178D5376"/>
    <w:rsid w:val="18627DF2"/>
    <w:rsid w:val="2AE9690F"/>
    <w:rsid w:val="33510E21"/>
    <w:rsid w:val="340D7B12"/>
    <w:rsid w:val="346E2E51"/>
    <w:rsid w:val="34FB4231"/>
    <w:rsid w:val="3F7625FD"/>
    <w:rsid w:val="47B72BF1"/>
    <w:rsid w:val="4BB26FFD"/>
    <w:rsid w:val="4E202080"/>
    <w:rsid w:val="6A333F49"/>
    <w:rsid w:val="6E6B2E90"/>
    <w:rsid w:val="742C3ECC"/>
    <w:rsid w:val="756112E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482"/>
    </w:pPr>
    <w:rPr>
      <w:rFonts w:ascii="等线" w:hAnsi="等线" w:eastAsia="微软雅黑" w:cs="等线"/>
      <w:kern w:val="2"/>
      <w:sz w:val="24"/>
      <w:szCs w:val="24"/>
      <w:lang w:val="en-US" w:eastAsia="zh-CN" w:bidi="ar-SA"/>
    </w:rPr>
  </w:style>
  <w:style w:type="paragraph" w:styleId="2">
    <w:name w:val="heading 1"/>
    <w:basedOn w:val="1"/>
    <w:next w:val="1"/>
    <w:link w:val="12"/>
    <w:qFormat/>
    <w:uiPriority w:val="99"/>
    <w:pPr>
      <w:keepNext/>
      <w:keepLines/>
      <w:spacing w:before="340" w:after="330"/>
      <w:jc w:val="center"/>
      <w:outlineLvl w:val="0"/>
    </w:pPr>
    <w:rPr>
      <w:b/>
      <w:bCs/>
      <w:kern w:val="44"/>
      <w:sz w:val="28"/>
      <w:szCs w:val="28"/>
    </w:rPr>
  </w:style>
  <w:style w:type="paragraph" w:styleId="3">
    <w:name w:val="heading 2"/>
    <w:basedOn w:val="4"/>
    <w:next w:val="1"/>
    <w:link w:val="13"/>
    <w:qFormat/>
    <w:uiPriority w:val="99"/>
    <w:pPr>
      <w:spacing w:beforeLines="50" w:after="0" w:line="415" w:lineRule="auto"/>
      <w:outlineLvl w:val="1"/>
    </w:pPr>
    <w:rPr>
      <w:rFonts w:ascii="等线 Light" w:hAnsi="等线 Light" w:cs="等线 Light"/>
      <w:sz w:val="28"/>
      <w:szCs w:val="28"/>
    </w:rPr>
  </w:style>
  <w:style w:type="paragraph" w:styleId="4">
    <w:name w:val="heading 3"/>
    <w:basedOn w:val="1"/>
    <w:next w:val="1"/>
    <w:link w:val="14"/>
    <w:qFormat/>
    <w:uiPriority w:val="99"/>
    <w:pPr>
      <w:keepNext/>
      <w:keepLines/>
      <w:spacing w:before="260" w:after="260" w:line="416" w:lineRule="auto"/>
      <w:outlineLvl w:val="2"/>
    </w:pPr>
    <w:rPr>
      <w:b/>
      <w:bCs/>
      <w:sz w:val="32"/>
      <w:szCs w:val="32"/>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5"/>
    <w:semiHidden/>
    <w:uiPriority w:val="99"/>
    <w:pPr>
      <w:spacing w:line="240" w:lineRule="auto"/>
    </w:pPr>
    <w:rPr>
      <w:sz w:val="18"/>
      <w:szCs w:val="18"/>
    </w:rPr>
  </w:style>
  <w:style w:type="paragraph" w:styleId="6">
    <w:name w:val="footer"/>
    <w:basedOn w:val="1"/>
    <w:link w:val="16"/>
    <w:qFormat/>
    <w:uiPriority w:val="99"/>
    <w:pPr>
      <w:tabs>
        <w:tab w:val="center" w:pos="4153"/>
        <w:tab w:val="right" w:pos="8306"/>
      </w:tabs>
      <w:spacing w:line="240" w:lineRule="auto"/>
    </w:pPr>
    <w:rPr>
      <w:sz w:val="18"/>
      <w:szCs w:val="18"/>
    </w:rPr>
  </w:style>
  <w:style w:type="paragraph" w:styleId="7">
    <w:name w:val="header"/>
    <w:basedOn w:val="1"/>
    <w:link w:val="17"/>
    <w:qFormat/>
    <w:uiPriority w:val="99"/>
    <w:pPr>
      <w:pBdr>
        <w:bottom w:val="single" w:color="auto" w:sz="6" w:space="1"/>
      </w:pBdr>
      <w:tabs>
        <w:tab w:val="center" w:pos="4153"/>
        <w:tab w:val="right" w:pos="8306"/>
      </w:tabs>
      <w:spacing w:line="240" w:lineRule="auto"/>
      <w:jc w:val="center"/>
    </w:pPr>
    <w:rPr>
      <w:sz w:val="18"/>
      <w:szCs w:val="18"/>
    </w:rPr>
  </w:style>
  <w:style w:type="paragraph" w:styleId="8">
    <w:name w:val="Subtitle"/>
    <w:basedOn w:val="1"/>
    <w:next w:val="1"/>
    <w:link w:val="18"/>
    <w:qFormat/>
    <w:uiPriority w:val="99"/>
    <w:pPr>
      <w:spacing w:before="240" w:after="60" w:line="312" w:lineRule="auto"/>
      <w:jc w:val="center"/>
      <w:outlineLvl w:val="1"/>
    </w:pPr>
    <w:rPr>
      <w:rFonts w:eastAsia="仿宋"/>
      <w:b/>
      <w:bCs/>
      <w:kern w:val="28"/>
    </w:rPr>
  </w:style>
  <w:style w:type="character" w:styleId="11">
    <w:name w:val="Hyperlink"/>
    <w:basedOn w:val="10"/>
    <w:semiHidden/>
    <w:unhideWhenUsed/>
    <w:qFormat/>
    <w:uiPriority w:val="99"/>
    <w:rPr>
      <w:color w:val="0000FF"/>
      <w:u w:val="single"/>
    </w:rPr>
  </w:style>
  <w:style w:type="character" w:customStyle="1" w:styleId="12">
    <w:name w:val="标题 1 Char"/>
    <w:link w:val="2"/>
    <w:qFormat/>
    <w:locked/>
    <w:uiPriority w:val="99"/>
    <w:rPr>
      <w:rFonts w:eastAsia="微软雅黑"/>
      <w:b/>
      <w:bCs/>
      <w:kern w:val="44"/>
      <w:sz w:val="44"/>
      <w:szCs w:val="44"/>
    </w:rPr>
  </w:style>
  <w:style w:type="character" w:customStyle="1" w:styleId="13">
    <w:name w:val="标题 2 Char"/>
    <w:link w:val="3"/>
    <w:locked/>
    <w:uiPriority w:val="99"/>
    <w:rPr>
      <w:rFonts w:ascii="等线 Light" w:hAnsi="等线 Light" w:eastAsia="微软雅黑" w:cs="等线 Light"/>
      <w:b/>
      <w:bCs/>
      <w:sz w:val="32"/>
      <w:szCs w:val="32"/>
    </w:rPr>
  </w:style>
  <w:style w:type="character" w:customStyle="1" w:styleId="14">
    <w:name w:val="标题 3 Char"/>
    <w:link w:val="4"/>
    <w:semiHidden/>
    <w:qFormat/>
    <w:locked/>
    <w:uiPriority w:val="99"/>
    <w:rPr>
      <w:b/>
      <w:bCs/>
      <w:sz w:val="32"/>
      <w:szCs w:val="32"/>
    </w:rPr>
  </w:style>
  <w:style w:type="character" w:customStyle="1" w:styleId="15">
    <w:name w:val="批注框文本 Char"/>
    <w:link w:val="5"/>
    <w:semiHidden/>
    <w:qFormat/>
    <w:locked/>
    <w:uiPriority w:val="99"/>
    <w:rPr>
      <w:rFonts w:eastAsia="微软雅黑"/>
      <w:kern w:val="2"/>
      <w:sz w:val="18"/>
      <w:szCs w:val="18"/>
    </w:rPr>
  </w:style>
  <w:style w:type="character" w:customStyle="1" w:styleId="16">
    <w:name w:val="页脚 Char"/>
    <w:link w:val="6"/>
    <w:qFormat/>
    <w:locked/>
    <w:uiPriority w:val="99"/>
    <w:rPr>
      <w:rFonts w:eastAsia="微软雅黑"/>
      <w:sz w:val="18"/>
      <w:szCs w:val="18"/>
    </w:rPr>
  </w:style>
  <w:style w:type="character" w:customStyle="1" w:styleId="17">
    <w:name w:val="页眉 Char"/>
    <w:link w:val="7"/>
    <w:qFormat/>
    <w:locked/>
    <w:uiPriority w:val="99"/>
    <w:rPr>
      <w:rFonts w:eastAsia="微软雅黑"/>
      <w:sz w:val="18"/>
      <w:szCs w:val="18"/>
    </w:rPr>
  </w:style>
  <w:style w:type="character" w:customStyle="1" w:styleId="18">
    <w:name w:val="副标题 Char"/>
    <w:link w:val="8"/>
    <w:qFormat/>
    <w:locked/>
    <w:uiPriority w:val="99"/>
    <w:rPr>
      <w:rFonts w:eastAsia="仿宋"/>
      <w:b/>
      <w:bCs/>
      <w:kern w:val="28"/>
      <w:sz w:val="32"/>
      <w:szCs w:val="32"/>
    </w:rPr>
  </w:style>
  <w:style w:type="paragraph" w:customStyle="1" w:styleId="19">
    <w:name w:val="Revision"/>
    <w:hidden/>
    <w:unhideWhenUsed/>
    <w:qFormat/>
    <w:uiPriority w:val="99"/>
    <w:rPr>
      <w:rFonts w:ascii="等线" w:hAnsi="等线" w:eastAsia="微软雅黑" w:cs="等线"/>
      <w:kern w:val="2"/>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1872</Words>
  <Characters>1906</Characters>
  <Lines>13</Lines>
  <Paragraphs>3</Paragraphs>
  <TotalTime>29</TotalTime>
  <ScaleCrop>false</ScaleCrop>
  <LinksUpToDate>false</LinksUpToDate>
  <CharactersWithSpaces>1906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2026-07-06T03:44:00Z</dcterms:created>
  <dc:creator>童颜</dc:creator>
  <cp:lastModifiedBy>三三</cp:lastModifiedBy>
  <cp:lastPrinted>2025-12-12T03:00:00Z</cp:lastPrinted>
  <dcterms:modified xsi:type="dcterms:W3CDTF">2026-08-03T02:35:29Z</dcterms:modified>
  <dc:title>附件一：</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eyJoZGlkIjoiYzk0M2Q1NzhkYjdmYmM0ZTZiYWJiODNjMTczZjE2YTgiLCJ1c2VySWQiOiI2NjY0ODY2MzAifQ==</vt:lpwstr>
  </property>
  <property fmtid="{D5CDD505-2E9C-101B-9397-08002B2CF9AE}" pid="3" name="KSOProductBuildVer">
    <vt:lpwstr>2052-12.1.0.28043</vt:lpwstr>
  </property>
  <property fmtid="{D5CDD505-2E9C-101B-9397-08002B2CF9AE}" pid="4" name="ICV">
    <vt:lpwstr>F51E6197303A4645AE35A3E37FF94367_13</vt:lpwstr>
  </property>
</Properties>
</file>