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2D2BD">
      <w:pPr>
        <w:keepNext w:val="0"/>
        <w:keepLines w:val="0"/>
        <w:pageBreakBefore w:val="0"/>
        <w:widowControl w:val="0"/>
        <w:kinsoku/>
        <w:wordWrap/>
        <w:overflowPunct/>
        <w:topLinePunct w:val="0"/>
        <w:bidi w:val="0"/>
        <w:snapToGrid/>
        <w:spacing w:line="240" w:lineRule="auto"/>
        <w:jc w:val="left"/>
        <w:textAlignment w:val="auto"/>
        <w:rPr>
          <w:rFonts w:ascii="黑体" w:hAnsi="黑体" w:eastAsia="黑体" w:cs="黑体"/>
          <w:bCs/>
          <w:snapToGrid w:val="0"/>
          <w:color w:val="000000"/>
          <w:kern w:val="0"/>
          <w:sz w:val="32"/>
          <w:szCs w:val="32"/>
          <w:highlight w:val="none"/>
        </w:rPr>
      </w:pPr>
      <w:r>
        <w:rPr>
          <w:rFonts w:hint="eastAsia" w:ascii="黑体" w:hAnsi="黑体" w:eastAsia="黑体" w:cs="黑体"/>
          <w:bCs/>
          <w:snapToGrid w:val="0"/>
          <w:color w:val="000000"/>
          <w:kern w:val="0"/>
          <w:sz w:val="32"/>
          <w:szCs w:val="32"/>
          <w:highlight w:val="none"/>
        </w:rPr>
        <w:t>附件1</w:t>
      </w:r>
    </w:p>
    <w:p w14:paraId="0747F805">
      <w:pPr>
        <w:pStyle w:val="6"/>
        <w:keepNext w:val="0"/>
        <w:keepLines w:val="0"/>
        <w:pageBreakBefore w:val="0"/>
        <w:widowControl w:val="0"/>
        <w:kinsoku/>
        <w:wordWrap/>
        <w:overflowPunct/>
        <w:topLinePunct w:val="0"/>
        <w:bidi w:val="0"/>
        <w:snapToGrid/>
        <w:spacing w:beforeAutospacing="0" w:afterAutospacing="0" w:line="240" w:lineRule="auto"/>
        <w:jc w:val="center"/>
        <w:textAlignment w:val="auto"/>
        <w:rPr>
          <w:rFonts w:hint="eastAsia" w:ascii="方正小标宋简体" w:hAnsi="方正小标宋简体" w:eastAsia="方正小标宋简体" w:cs="方正小标宋简体"/>
          <w:snapToGrid w:val="0"/>
          <w:color w:val="000000"/>
          <w:sz w:val="36"/>
          <w:szCs w:val="36"/>
          <w:highlight w:val="none"/>
        </w:rPr>
      </w:pPr>
      <w:r>
        <w:rPr>
          <w:rFonts w:hint="eastAsia" w:ascii="方正小标宋简体" w:hAnsi="方正小标宋简体" w:eastAsia="方正小标宋简体" w:cs="方正小标宋简体"/>
          <w:snapToGrid w:val="0"/>
          <w:color w:val="000000"/>
          <w:sz w:val="36"/>
          <w:szCs w:val="36"/>
          <w:highlight w:val="none"/>
          <w:lang w:val="en-US" w:eastAsia="zh-CN"/>
        </w:rPr>
        <w:t>2025年度（第十二届）</w:t>
      </w:r>
      <w:r>
        <w:rPr>
          <w:rFonts w:hint="eastAsia" w:ascii="方正小标宋简体" w:hAnsi="方正小标宋简体" w:eastAsia="方正小标宋简体" w:cs="方正小标宋简体"/>
          <w:snapToGrid w:val="0"/>
          <w:color w:val="000000"/>
          <w:sz w:val="36"/>
          <w:szCs w:val="36"/>
          <w:highlight w:val="none"/>
        </w:rPr>
        <w:t>建筑装饰设计艺术作品展</w:t>
      </w:r>
    </w:p>
    <w:p w14:paraId="3A2289C1">
      <w:pPr>
        <w:pStyle w:val="6"/>
        <w:keepNext w:val="0"/>
        <w:keepLines w:val="0"/>
        <w:pageBreakBefore w:val="0"/>
        <w:widowControl w:val="0"/>
        <w:kinsoku/>
        <w:wordWrap/>
        <w:overflowPunct/>
        <w:topLinePunct w:val="0"/>
        <w:bidi w:val="0"/>
        <w:snapToGrid/>
        <w:spacing w:beforeAutospacing="0" w:afterAutospacing="0" w:line="240" w:lineRule="auto"/>
        <w:jc w:val="center"/>
        <w:textAlignment w:val="auto"/>
        <w:rPr>
          <w:rFonts w:ascii="方正小标宋简体" w:hAnsi="方正小标宋简体" w:eastAsia="方正小标宋简体" w:cs="方正小标宋简体"/>
          <w:snapToGrid w:val="0"/>
          <w:color w:val="000000"/>
          <w:sz w:val="36"/>
          <w:szCs w:val="36"/>
          <w:highlight w:val="none"/>
        </w:rPr>
      </w:pPr>
      <w:r>
        <w:rPr>
          <w:rFonts w:hint="eastAsia" w:ascii="方正小标宋简体" w:hAnsi="方正小标宋简体" w:eastAsia="方正小标宋简体" w:cs="方正小标宋简体"/>
          <w:snapToGrid w:val="0"/>
          <w:color w:val="000000"/>
          <w:sz w:val="36"/>
          <w:szCs w:val="36"/>
          <w:highlight w:val="none"/>
        </w:rPr>
        <w:t>暨作品设计大赛实施说明</w:t>
      </w:r>
    </w:p>
    <w:p w14:paraId="7D3A4F44">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p>
    <w:p w14:paraId="0FE0E117">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2025年度（第十二届）建筑装饰设计艺术作品展暨作品设计大赛活动（简称：设计展暨大赛），活动分为设计展和大赛两部分，设计作品展以线上+线下两种形式展示年度入选的设计作品，设计大赛由分赛区、总决赛两部分组成。</w:t>
      </w:r>
    </w:p>
    <w:p w14:paraId="0E78B15E">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黑体" w:hAnsi="黑体" w:eastAsia="黑体" w:cs="黑体"/>
          <w:b w:val="0"/>
          <w:bCs w:val="0"/>
          <w:color w:val="000000"/>
          <w:spacing w:val="0"/>
          <w:kern w:val="0"/>
          <w:sz w:val="32"/>
          <w:szCs w:val="32"/>
          <w:highlight w:val="none"/>
          <w:lang w:val="en-US" w:eastAsia="zh-CN" w:bidi="ar-SA"/>
        </w:rPr>
      </w:pPr>
      <w:r>
        <w:rPr>
          <w:rFonts w:hint="eastAsia" w:ascii="黑体" w:hAnsi="黑体" w:eastAsia="黑体" w:cs="黑体"/>
          <w:b w:val="0"/>
          <w:bCs w:val="0"/>
          <w:color w:val="000000"/>
          <w:spacing w:val="0"/>
          <w:kern w:val="0"/>
          <w:sz w:val="32"/>
          <w:szCs w:val="32"/>
          <w:highlight w:val="none"/>
          <w:lang w:val="en-US" w:eastAsia="zh-CN" w:bidi="ar-SA"/>
        </w:rPr>
        <w:t>一、组织机构</w:t>
      </w:r>
    </w:p>
    <w:p w14:paraId="497E4961">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主办单位：中国建筑装饰协会</w:t>
      </w:r>
    </w:p>
    <w:p w14:paraId="7BCAB8FC">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承办单位：中国建筑装饰协会设计分会</w:t>
      </w:r>
    </w:p>
    <w:p w14:paraId="5BC5DCB4">
      <w:pPr>
        <w:pStyle w:val="6"/>
        <w:keepNext w:val="0"/>
        <w:keepLines w:val="0"/>
        <w:pageBreakBefore w:val="0"/>
        <w:widowControl w:val="0"/>
        <w:kinsoku/>
        <w:wordWrap/>
        <w:overflowPunct/>
        <w:topLinePunct w:val="0"/>
        <w:bidi w:val="0"/>
        <w:snapToGrid/>
        <w:spacing w:beforeAutospacing="0" w:afterAutospacing="0" w:line="240" w:lineRule="auto"/>
        <w:ind w:firstLine="2240" w:firstLineChars="7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中华建筑报社</w:t>
      </w:r>
    </w:p>
    <w:p w14:paraId="383C7B3A">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协办单位：各省市自治区建筑及装饰协会（设计分会）</w:t>
      </w:r>
    </w:p>
    <w:p w14:paraId="7D6DAF94">
      <w:pPr>
        <w:pStyle w:val="6"/>
        <w:keepNext w:val="0"/>
        <w:keepLines w:val="0"/>
        <w:pageBreakBefore w:val="0"/>
        <w:widowControl w:val="0"/>
        <w:kinsoku/>
        <w:wordWrap/>
        <w:overflowPunct/>
        <w:topLinePunct w:val="0"/>
        <w:bidi w:val="0"/>
        <w:snapToGrid/>
        <w:spacing w:beforeAutospacing="0" w:afterAutospacing="0" w:line="240" w:lineRule="auto"/>
        <w:ind w:firstLine="2240" w:firstLineChars="7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各设计类相关高校</w:t>
      </w:r>
    </w:p>
    <w:p w14:paraId="76A4F85A">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专刊媒体：住建部《建筑》《城乡建设》杂志</w:t>
      </w:r>
    </w:p>
    <w:p w14:paraId="37B74142">
      <w:pPr>
        <w:pStyle w:val="6"/>
        <w:keepNext w:val="0"/>
        <w:keepLines w:val="0"/>
        <w:pageBreakBefore w:val="0"/>
        <w:widowControl w:val="0"/>
        <w:kinsoku/>
        <w:wordWrap/>
        <w:overflowPunct/>
        <w:topLinePunct w:val="0"/>
        <w:bidi w:val="0"/>
        <w:snapToGrid/>
        <w:spacing w:beforeAutospacing="0" w:afterAutospacing="0" w:line="240" w:lineRule="auto"/>
        <w:ind w:firstLine="2240" w:firstLineChars="7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《中华建筑报设计专栏》</w:t>
      </w:r>
    </w:p>
    <w:p w14:paraId="1A2045FA">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特邀媒体：新华网</w:t>
      </w:r>
    </w:p>
    <w:p w14:paraId="162359A6">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支持媒体：《网易设计》</w:t>
      </w:r>
    </w:p>
    <w:p w14:paraId="731D5ED4">
      <w:pPr>
        <w:pStyle w:val="6"/>
        <w:keepNext w:val="0"/>
        <w:keepLines w:val="0"/>
        <w:pageBreakBefore w:val="0"/>
        <w:widowControl w:val="0"/>
        <w:kinsoku/>
        <w:wordWrap/>
        <w:overflowPunct/>
        <w:topLinePunct w:val="0"/>
        <w:bidi w:val="0"/>
        <w:snapToGrid/>
        <w:spacing w:beforeAutospacing="0" w:afterAutospacing="0" w:line="240" w:lineRule="auto"/>
        <w:ind w:firstLine="2240" w:firstLineChars="7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《环球设计》</w:t>
      </w:r>
    </w:p>
    <w:p w14:paraId="5EA87185">
      <w:pPr>
        <w:pStyle w:val="6"/>
        <w:keepNext w:val="0"/>
        <w:keepLines w:val="0"/>
        <w:pageBreakBefore w:val="0"/>
        <w:widowControl w:val="0"/>
        <w:kinsoku/>
        <w:wordWrap/>
        <w:overflowPunct/>
        <w:topLinePunct w:val="0"/>
        <w:bidi w:val="0"/>
        <w:snapToGrid/>
        <w:spacing w:beforeAutospacing="0" w:afterAutospacing="0" w:line="240" w:lineRule="auto"/>
        <w:ind w:firstLine="2240" w:firstLineChars="7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《环球观筑》</w:t>
      </w:r>
    </w:p>
    <w:p w14:paraId="1F4BAF55">
      <w:pPr>
        <w:pStyle w:val="6"/>
        <w:keepNext w:val="0"/>
        <w:keepLines w:val="0"/>
        <w:pageBreakBefore w:val="0"/>
        <w:widowControl w:val="0"/>
        <w:kinsoku/>
        <w:wordWrap/>
        <w:overflowPunct/>
        <w:topLinePunct w:val="0"/>
        <w:bidi w:val="0"/>
        <w:snapToGrid/>
        <w:spacing w:beforeAutospacing="0" w:afterAutospacing="0" w:line="240" w:lineRule="auto"/>
        <w:ind w:firstLine="2240" w:firstLineChars="7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《新浪地产设计》</w:t>
      </w:r>
    </w:p>
    <w:p w14:paraId="350614AA">
      <w:pPr>
        <w:pStyle w:val="6"/>
        <w:keepNext w:val="0"/>
        <w:keepLines w:val="0"/>
        <w:pageBreakBefore w:val="0"/>
        <w:widowControl w:val="0"/>
        <w:kinsoku/>
        <w:wordWrap/>
        <w:overflowPunct/>
        <w:topLinePunct w:val="0"/>
        <w:bidi w:val="0"/>
        <w:snapToGrid/>
        <w:spacing w:beforeAutospacing="0" w:afterAutospacing="0" w:line="240" w:lineRule="auto"/>
        <w:ind w:firstLine="2240" w:firstLineChars="7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《设计创享家》等</w:t>
      </w:r>
    </w:p>
    <w:p w14:paraId="088D23D6">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黑体" w:hAnsi="黑体" w:eastAsia="黑体" w:cs="黑体"/>
          <w:b w:val="0"/>
          <w:bCs w:val="0"/>
          <w:color w:val="000000"/>
          <w:spacing w:val="0"/>
          <w:kern w:val="0"/>
          <w:sz w:val="32"/>
          <w:szCs w:val="32"/>
          <w:highlight w:val="none"/>
          <w:lang w:val="en-US" w:eastAsia="zh-CN" w:bidi="ar-SA"/>
        </w:rPr>
      </w:pPr>
      <w:r>
        <w:rPr>
          <w:rFonts w:hint="eastAsia" w:ascii="黑体" w:hAnsi="黑体" w:eastAsia="黑体" w:cs="黑体"/>
          <w:b w:val="0"/>
          <w:bCs w:val="0"/>
          <w:color w:val="000000"/>
          <w:spacing w:val="0"/>
          <w:kern w:val="0"/>
          <w:sz w:val="32"/>
          <w:szCs w:val="32"/>
          <w:highlight w:val="none"/>
          <w:lang w:val="en-US" w:eastAsia="zh-CN" w:bidi="ar-SA"/>
        </w:rPr>
        <w:t>二、设计艺术作品展专家委员会</w:t>
      </w:r>
    </w:p>
    <w:p w14:paraId="1ACA7310">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主  任：孟建国  中国建筑设计集团有限公司总建筑师</w:t>
      </w:r>
    </w:p>
    <w:p w14:paraId="1F1F2071">
      <w:pPr>
        <w:pStyle w:val="6"/>
        <w:keepNext w:val="0"/>
        <w:keepLines w:val="0"/>
        <w:pageBreakBefore w:val="0"/>
        <w:widowControl w:val="0"/>
        <w:kinsoku/>
        <w:wordWrap/>
        <w:overflowPunct/>
        <w:topLinePunct w:val="0"/>
        <w:bidi w:val="0"/>
        <w:snapToGrid/>
        <w:spacing w:beforeAutospacing="0" w:afterAutospacing="0" w:line="240" w:lineRule="auto"/>
        <w:ind w:firstLine="1920" w:firstLineChars="6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蔡新元  华中科技大学设计学院院长 数字光影服务技术文旅部重点实验室主任</w:t>
      </w:r>
    </w:p>
    <w:p w14:paraId="5535DB2C">
      <w:pPr>
        <w:pStyle w:val="6"/>
        <w:keepNext w:val="0"/>
        <w:keepLines w:val="0"/>
        <w:pageBreakBefore w:val="0"/>
        <w:widowControl w:val="0"/>
        <w:kinsoku/>
        <w:wordWrap/>
        <w:overflowPunct/>
        <w:topLinePunct w:val="0"/>
        <w:bidi w:val="0"/>
        <w:snapToGrid/>
        <w:spacing w:beforeAutospacing="0" w:afterAutospacing="0" w:line="240" w:lineRule="auto"/>
        <w:ind w:firstLine="1920" w:firstLineChars="6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郑  忠  香港郑中设计集团创始人/董事长</w:t>
      </w:r>
    </w:p>
    <w:p w14:paraId="45776E49">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副主任：潘向东  城市组设计集团有限公司创始人/总设计师</w:t>
      </w:r>
    </w:p>
    <w:p w14:paraId="6079D104">
      <w:pPr>
        <w:pStyle w:val="6"/>
        <w:keepNext w:val="0"/>
        <w:keepLines w:val="0"/>
        <w:pageBreakBefore w:val="0"/>
        <w:widowControl w:val="0"/>
        <w:kinsoku/>
        <w:wordWrap/>
        <w:overflowPunct/>
        <w:topLinePunct w:val="0"/>
        <w:bidi w:val="0"/>
        <w:snapToGrid/>
        <w:spacing w:beforeAutospacing="0" w:afterAutospacing="0" w:line="240" w:lineRule="auto"/>
        <w:ind w:firstLine="1920" w:firstLineChars="6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季春华  金螳螂集团副总裁、设计总院执行院长</w:t>
      </w:r>
    </w:p>
    <w:p w14:paraId="2580A350">
      <w:pPr>
        <w:pStyle w:val="6"/>
        <w:keepNext w:val="0"/>
        <w:keepLines w:val="0"/>
        <w:pageBreakBefore w:val="0"/>
        <w:widowControl w:val="0"/>
        <w:kinsoku/>
        <w:wordWrap/>
        <w:overflowPunct/>
        <w:topLinePunct w:val="0"/>
        <w:bidi w:val="0"/>
        <w:snapToGrid/>
        <w:spacing w:beforeAutospacing="0" w:afterAutospacing="0" w:line="240" w:lineRule="auto"/>
        <w:ind w:firstLine="1920" w:firstLineChars="6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张  郁  苏州和氏设计营造股份有限公司总裁</w:t>
      </w:r>
    </w:p>
    <w:p w14:paraId="5B464361">
      <w:pPr>
        <w:pStyle w:val="6"/>
        <w:keepNext w:val="0"/>
        <w:keepLines w:val="0"/>
        <w:pageBreakBefore w:val="0"/>
        <w:widowControl w:val="0"/>
        <w:kinsoku/>
        <w:wordWrap/>
        <w:overflowPunct/>
        <w:topLinePunct w:val="0"/>
        <w:bidi w:val="0"/>
        <w:snapToGrid/>
        <w:spacing w:beforeAutospacing="0" w:afterAutospacing="0" w:line="240" w:lineRule="auto"/>
        <w:ind w:firstLine="1920" w:firstLineChars="6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潘召南  四川美术学院实验教学中心主任</w:t>
      </w:r>
    </w:p>
    <w:p w14:paraId="6CA6E8FA">
      <w:pPr>
        <w:pStyle w:val="6"/>
        <w:keepNext w:val="0"/>
        <w:keepLines w:val="0"/>
        <w:pageBreakBefore w:val="0"/>
        <w:widowControl w:val="0"/>
        <w:kinsoku/>
        <w:wordWrap/>
        <w:overflowPunct/>
        <w:topLinePunct w:val="0"/>
        <w:bidi w:val="0"/>
        <w:snapToGrid/>
        <w:spacing w:beforeAutospacing="0" w:afterAutospacing="0" w:line="240" w:lineRule="auto"/>
        <w:ind w:firstLine="1920" w:firstLineChars="6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谢  天  中国美院国艺城市设计艺术研究院院长</w:t>
      </w:r>
    </w:p>
    <w:p w14:paraId="4644A7D3">
      <w:pPr>
        <w:pStyle w:val="6"/>
        <w:keepNext w:val="0"/>
        <w:keepLines w:val="0"/>
        <w:pageBreakBefore w:val="0"/>
        <w:widowControl w:val="0"/>
        <w:kinsoku/>
        <w:wordWrap/>
        <w:overflowPunct/>
        <w:topLinePunct w:val="0"/>
        <w:bidi w:val="0"/>
        <w:snapToGrid/>
        <w:spacing w:beforeAutospacing="0" w:afterAutospacing="0" w:line="240" w:lineRule="auto"/>
        <w:ind w:firstLine="1920" w:firstLineChars="6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杨邦胜  YANG设计集团创始人/总裁</w:t>
      </w:r>
    </w:p>
    <w:p w14:paraId="0E63E299">
      <w:pPr>
        <w:pStyle w:val="6"/>
        <w:keepNext w:val="0"/>
        <w:keepLines w:val="0"/>
        <w:pageBreakBefore w:val="0"/>
        <w:widowControl w:val="0"/>
        <w:kinsoku/>
        <w:wordWrap/>
        <w:overflowPunct/>
        <w:topLinePunct w:val="0"/>
        <w:bidi w:val="0"/>
        <w:snapToGrid/>
        <w:spacing w:beforeAutospacing="0" w:afterAutospacing="0" w:line="240" w:lineRule="auto"/>
        <w:ind w:firstLine="1920" w:firstLineChars="6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于  强  于强室内建筑师事务所创始人</w:t>
      </w:r>
    </w:p>
    <w:p w14:paraId="0E01AAE8">
      <w:pPr>
        <w:pStyle w:val="6"/>
        <w:keepNext w:val="0"/>
        <w:keepLines w:val="0"/>
        <w:pageBreakBefore w:val="0"/>
        <w:widowControl w:val="0"/>
        <w:kinsoku/>
        <w:wordWrap/>
        <w:overflowPunct/>
        <w:topLinePunct w:val="0"/>
        <w:bidi w:val="0"/>
        <w:snapToGrid/>
        <w:spacing w:beforeAutospacing="0" w:afterAutospacing="0" w:line="240" w:lineRule="auto"/>
        <w:ind w:firstLine="1920" w:firstLineChars="6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孙华峰  鼎合建筑装饰设计工程有限公司总经理 赖旭东年代营创室内设计有限公司创始人/设计总监</w:t>
      </w:r>
    </w:p>
    <w:p w14:paraId="7CCBAEAF">
      <w:pPr>
        <w:pStyle w:val="6"/>
        <w:keepNext w:val="0"/>
        <w:keepLines w:val="0"/>
        <w:pageBreakBefore w:val="0"/>
        <w:widowControl w:val="0"/>
        <w:kinsoku/>
        <w:wordWrap/>
        <w:overflowPunct/>
        <w:topLinePunct w:val="0"/>
        <w:bidi w:val="0"/>
        <w:snapToGrid/>
        <w:spacing w:beforeAutospacing="0" w:afterAutospacing="0" w:line="240" w:lineRule="auto"/>
        <w:ind w:firstLine="1920" w:firstLineChars="6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吴文粒  盘石室内设计有限公司创始人/设计总监</w:t>
      </w:r>
    </w:p>
    <w:p w14:paraId="227F3659">
      <w:pPr>
        <w:pStyle w:val="6"/>
        <w:keepNext w:val="0"/>
        <w:keepLines w:val="0"/>
        <w:pageBreakBefore w:val="0"/>
        <w:widowControl w:val="0"/>
        <w:kinsoku/>
        <w:wordWrap/>
        <w:overflowPunct/>
        <w:topLinePunct w:val="0"/>
        <w:bidi w:val="0"/>
        <w:snapToGrid/>
        <w:spacing w:beforeAutospacing="0" w:afterAutospacing="0" w:line="240" w:lineRule="auto"/>
        <w:ind w:firstLine="1920" w:firstLineChars="6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黄志达  RWD黄志达设计创始人/董事长</w:t>
      </w:r>
    </w:p>
    <w:p w14:paraId="7C83A1BF">
      <w:pPr>
        <w:pStyle w:val="6"/>
        <w:keepNext w:val="0"/>
        <w:keepLines w:val="0"/>
        <w:pageBreakBefore w:val="0"/>
        <w:widowControl w:val="0"/>
        <w:kinsoku/>
        <w:wordWrap/>
        <w:overflowPunct/>
        <w:topLinePunct w:val="0"/>
        <w:bidi w:val="0"/>
        <w:snapToGrid/>
        <w:spacing w:beforeAutospacing="0" w:afterAutospacing="0" w:line="240" w:lineRule="auto"/>
        <w:ind w:firstLine="1920" w:firstLineChars="6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周炯炎  四川大学艺术研究院副院长</w:t>
      </w:r>
    </w:p>
    <w:p w14:paraId="3FEAC44B">
      <w:pPr>
        <w:pStyle w:val="6"/>
        <w:keepNext w:val="0"/>
        <w:keepLines w:val="0"/>
        <w:pageBreakBefore w:val="0"/>
        <w:widowControl w:val="0"/>
        <w:kinsoku/>
        <w:wordWrap/>
        <w:overflowPunct/>
        <w:topLinePunct w:val="0"/>
        <w:bidi w:val="0"/>
        <w:snapToGrid/>
        <w:spacing w:beforeAutospacing="0" w:afterAutospacing="0" w:line="240" w:lineRule="auto"/>
        <w:ind w:firstLine="1920" w:firstLineChars="6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林  海  广西艺术学院教务处处长</w:t>
      </w:r>
    </w:p>
    <w:p w14:paraId="536EA512">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专家介绍详见活动相关媒体平台。</w:t>
      </w:r>
    </w:p>
    <w:p w14:paraId="0B8AA349">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黑体" w:hAnsi="黑体" w:eastAsia="黑体" w:cs="黑体"/>
          <w:b w:val="0"/>
          <w:bCs w:val="0"/>
          <w:color w:val="000000"/>
          <w:spacing w:val="0"/>
          <w:kern w:val="0"/>
          <w:sz w:val="32"/>
          <w:szCs w:val="32"/>
          <w:highlight w:val="none"/>
          <w:lang w:val="en-US" w:eastAsia="zh-CN" w:bidi="ar-SA"/>
        </w:rPr>
      </w:pPr>
      <w:r>
        <w:rPr>
          <w:rFonts w:hint="eastAsia" w:ascii="黑体" w:hAnsi="黑体" w:eastAsia="黑体" w:cs="黑体"/>
          <w:b w:val="0"/>
          <w:bCs w:val="0"/>
          <w:color w:val="000000"/>
          <w:spacing w:val="0"/>
          <w:kern w:val="0"/>
          <w:sz w:val="32"/>
          <w:szCs w:val="32"/>
          <w:highlight w:val="none"/>
          <w:lang w:val="en-US" w:eastAsia="zh-CN" w:bidi="ar-SA"/>
        </w:rPr>
        <w:t>三、活动设置及说明</w:t>
      </w:r>
    </w:p>
    <w:p w14:paraId="5A4C6AB9">
      <w:pPr>
        <w:keepNext w:val="0"/>
        <w:keepLines w:val="0"/>
        <w:pageBreakBefore w:val="0"/>
        <w:widowControl w:val="0"/>
        <w:kinsoku/>
        <w:wordWrap/>
        <w:overflowPunct/>
        <w:topLinePunct w:val="0"/>
        <w:bidi w:val="0"/>
        <w:snapToGrid/>
        <w:spacing w:line="240" w:lineRule="auto"/>
        <w:ind w:firstLine="643" w:firstLineChars="200"/>
        <w:contextualSpacing/>
        <w:jc w:val="left"/>
        <w:textAlignment w:val="auto"/>
        <w:rPr>
          <w:rFonts w:hint="eastAsia" w:ascii="仿宋_GB2312" w:hAnsi="仿宋_GB2312" w:eastAsia="仿宋_GB2312" w:cs="仿宋_GB2312"/>
          <w:b/>
          <w:bCs/>
          <w:color w:val="000000"/>
          <w:spacing w:val="0"/>
          <w:kern w:val="0"/>
          <w:sz w:val="32"/>
          <w:szCs w:val="32"/>
          <w:highlight w:val="none"/>
          <w:lang w:val="en-US" w:eastAsia="zh-CN" w:bidi="ar-SA"/>
        </w:rPr>
      </w:pPr>
      <w:r>
        <w:rPr>
          <w:rFonts w:hint="eastAsia" w:ascii="仿宋_GB2312" w:hAnsi="仿宋_GB2312" w:eastAsia="仿宋_GB2312" w:cs="仿宋_GB2312"/>
          <w:b/>
          <w:bCs/>
          <w:color w:val="000000"/>
          <w:spacing w:val="0"/>
          <w:kern w:val="0"/>
          <w:sz w:val="32"/>
          <w:szCs w:val="32"/>
          <w:highlight w:val="none"/>
          <w:lang w:val="en-US" w:eastAsia="zh-CN" w:bidi="ar-SA"/>
        </w:rPr>
        <w:t>（一）设计案例城市巡讲分享活动及设计面对面东西方设计与交流活动</w:t>
      </w:r>
    </w:p>
    <w:p w14:paraId="2B342260">
      <w:pPr>
        <w:keepNext w:val="0"/>
        <w:keepLines w:val="0"/>
        <w:pageBreakBefore w:val="0"/>
        <w:widowControl w:val="0"/>
        <w:kinsoku/>
        <w:wordWrap/>
        <w:overflowPunct/>
        <w:topLinePunct w:val="0"/>
        <w:bidi w:val="0"/>
        <w:snapToGrid/>
        <w:spacing w:line="240" w:lineRule="auto"/>
        <w:ind w:firstLine="643" w:firstLineChars="200"/>
        <w:contextualSpacing/>
        <w:jc w:val="left"/>
        <w:textAlignment w:val="auto"/>
        <w:rPr>
          <w:rFonts w:hint="eastAsia" w:ascii="仿宋_GB2312" w:hAnsi="仿宋_GB2312" w:eastAsia="仿宋_GB2312" w:cs="仿宋_GB2312"/>
          <w:b/>
          <w:bCs/>
          <w:color w:val="000000"/>
          <w:spacing w:val="0"/>
          <w:kern w:val="0"/>
          <w:sz w:val="32"/>
          <w:szCs w:val="32"/>
          <w:highlight w:val="none"/>
          <w:lang w:val="en-US" w:eastAsia="zh-CN" w:bidi="ar-SA"/>
        </w:rPr>
      </w:pPr>
      <w:r>
        <w:rPr>
          <w:rFonts w:hint="eastAsia" w:ascii="仿宋_GB2312" w:hAnsi="仿宋_GB2312" w:eastAsia="仿宋_GB2312" w:cs="仿宋_GB2312"/>
          <w:b/>
          <w:bCs/>
          <w:color w:val="000000"/>
          <w:spacing w:val="0"/>
          <w:kern w:val="0"/>
          <w:sz w:val="32"/>
          <w:szCs w:val="32"/>
          <w:highlight w:val="none"/>
          <w:lang w:val="en-US" w:eastAsia="zh-CN" w:bidi="ar-SA"/>
        </w:rPr>
        <w:t>（二）2025年度建筑装饰设计艺术作品展</w:t>
      </w:r>
    </w:p>
    <w:p w14:paraId="3BD20D66">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1.空间设计艺术作品</w:t>
      </w:r>
    </w:p>
    <w:p w14:paraId="45DEC00B">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（1）个人设计作品展示</w:t>
      </w:r>
    </w:p>
    <w:p w14:paraId="787638CC">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（2）机构设计作品展示</w:t>
      </w:r>
    </w:p>
    <w:p w14:paraId="2BFDA02D">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2.好房子室内设计及城市更新设计案例</w:t>
      </w:r>
    </w:p>
    <w:p w14:paraId="044427FF">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3.产品设计艺术作品展示</w:t>
      </w:r>
    </w:p>
    <w:p w14:paraId="2EE85CCE">
      <w:pPr>
        <w:keepNext w:val="0"/>
        <w:keepLines w:val="0"/>
        <w:pageBreakBefore w:val="0"/>
        <w:widowControl w:val="0"/>
        <w:kinsoku/>
        <w:wordWrap/>
        <w:overflowPunct/>
        <w:topLinePunct w:val="0"/>
        <w:bidi w:val="0"/>
        <w:snapToGrid/>
        <w:spacing w:line="240" w:lineRule="auto"/>
        <w:ind w:firstLine="643" w:firstLineChars="200"/>
        <w:contextualSpacing/>
        <w:jc w:val="left"/>
        <w:textAlignment w:val="auto"/>
        <w:rPr>
          <w:rFonts w:hint="eastAsia" w:ascii="仿宋_GB2312" w:hAnsi="仿宋_GB2312" w:eastAsia="仿宋_GB2312" w:cs="仿宋_GB2312"/>
          <w:b/>
          <w:bCs/>
          <w:color w:val="000000"/>
          <w:spacing w:val="0"/>
          <w:kern w:val="0"/>
          <w:sz w:val="32"/>
          <w:szCs w:val="32"/>
          <w:highlight w:val="none"/>
          <w:lang w:val="en-US" w:eastAsia="zh-CN" w:bidi="ar-SA"/>
        </w:rPr>
      </w:pPr>
      <w:r>
        <w:rPr>
          <w:rFonts w:hint="eastAsia" w:ascii="仿宋_GB2312" w:hAnsi="仿宋_GB2312" w:eastAsia="仿宋_GB2312" w:cs="仿宋_GB2312"/>
          <w:b/>
          <w:bCs/>
          <w:color w:val="000000"/>
          <w:spacing w:val="0"/>
          <w:kern w:val="0"/>
          <w:sz w:val="32"/>
          <w:szCs w:val="32"/>
          <w:highlight w:val="none"/>
          <w:lang w:val="en-US" w:eastAsia="zh-CN" w:bidi="ar-SA"/>
        </w:rPr>
        <w:t>（三）2025年度建筑装饰设计艺术作品大赛</w:t>
      </w:r>
    </w:p>
    <w:p w14:paraId="5F70E118">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1.入选建筑装饰设计艺术作品展项目均可入围大赛；</w:t>
      </w:r>
    </w:p>
    <w:p w14:paraId="4C03C0A3">
      <w:pPr>
        <w:keepNext w:val="0"/>
        <w:keepLines w:val="0"/>
        <w:pageBreakBefore w:val="0"/>
        <w:widowControl w:val="0"/>
        <w:numPr>
          <w:ilvl w:val="0"/>
          <w:numId w:val="0"/>
        </w:numPr>
        <w:kinsoku/>
        <w:wordWrap/>
        <w:overflowPunct/>
        <w:topLinePunct w:val="0"/>
        <w:bidi w:val="0"/>
        <w:snapToGrid/>
        <w:spacing w:line="240" w:lineRule="auto"/>
        <w:ind w:firstLine="640" w:firstLineChars="200"/>
        <w:contextualSpacing/>
        <w:jc w:val="left"/>
        <w:textAlignment w:val="auto"/>
        <w:rPr>
          <w:rFonts w:ascii="仿宋" w:hAnsi="仿宋" w:eastAsia="仿宋" w:cs="仿宋"/>
          <w:snapToGrid w:val="0"/>
          <w:color w:val="000000"/>
          <w:kern w:val="0"/>
          <w:sz w:val="32"/>
          <w:szCs w:val="32"/>
          <w:highlight w:val="none"/>
        </w:rPr>
      </w:pPr>
      <w:r>
        <w:rPr>
          <w:rFonts w:hint="eastAsia" w:ascii="仿宋_GB2312" w:hAnsi="仿宋_GB2312" w:eastAsia="仿宋_GB2312" w:cs="仿宋_GB2312"/>
          <w:b w:val="0"/>
          <w:bCs w:val="0"/>
          <w:color w:val="000000"/>
          <w:spacing w:val="0"/>
          <w:kern w:val="0"/>
          <w:sz w:val="32"/>
          <w:szCs w:val="32"/>
          <w:highlight w:val="none"/>
          <w:lang w:val="en-US" w:eastAsia="zh-CN" w:bidi="ar-SA"/>
        </w:rPr>
        <w:t>2.作品分为</w:t>
      </w:r>
      <w:r>
        <w:rPr>
          <w:rFonts w:hint="eastAsia" w:ascii="仿宋" w:hAnsi="仿宋" w:eastAsia="仿宋" w:cs="仿宋"/>
          <w:snapToGrid w:val="0"/>
          <w:color w:val="000000"/>
          <w:kern w:val="0"/>
          <w:sz w:val="32"/>
          <w:szCs w:val="32"/>
          <w:highlight w:val="none"/>
        </w:rPr>
        <w:t>工程类、方案类和深化类</w:t>
      </w:r>
      <w:r>
        <w:rPr>
          <w:rFonts w:hint="eastAsia" w:ascii="仿宋_GB2312" w:hAnsi="仿宋_GB2312" w:eastAsia="仿宋_GB2312" w:cs="仿宋_GB2312"/>
          <w:b w:val="0"/>
          <w:bCs w:val="0"/>
          <w:color w:val="000000"/>
          <w:spacing w:val="0"/>
          <w:kern w:val="0"/>
          <w:sz w:val="32"/>
          <w:szCs w:val="32"/>
          <w:highlight w:val="none"/>
          <w:lang w:val="en-US" w:eastAsia="zh-CN" w:bidi="ar-SA"/>
        </w:rPr>
        <w:t>，</w:t>
      </w:r>
      <w:r>
        <w:rPr>
          <w:rFonts w:hint="eastAsia" w:ascii="仿宋" w:hAnsi="仿宋" w:eastAsia="仿宋" w:cs="仿宋"/>
          <w:snapToGrid w:val="0"/>
          <w:color w:val="000000"/>
          <w:kern w:val="0"/>
          <w:sz w:val="32"/>
          <w:szCs w:val="32"/>
          <w:highlight w:val="none"/>
        </w:rPr>
        <w:t>17项设计类</w:t>
      </w:r>
      <w:r>
        <w:rPr>
          <w:rFonts w:hint="eastAsia" w:ascii="仿宋_GB2312" w:hAnsi="仿宋_GB2312" w:eastAsia="仿宋_GB2312" w:cs="仿宋_GB2312"/>
          <w:b w:val="0"/>
          <w:bCs w:val="0"/>
          <w:color w:val="000000"/>
          <w:spacing w:val="0"/>
          <w:kern w:val="0"/>
          <w:sz w:val="32"/>
          <w:szCs w:val="32"/>
          <w:highlight w:val="none"/>
          <w:lang w:val="en-US" w:eastAsia="zh-CN" w:bidi="ar-SA"/>
        </w:rPr>
        <w:t>别（详见类别说明）</w:t>
      </w:r>
      <w:r>
        <w:rPr>
          <w:rFonts w:hint="eastAsia" w:ascii="仿宋" w:hAnsi="仿宋" w:eastAsia="仿宋" w:cs="仿宋"/>
          <w:snapToGrid w:val="0"/>
          <w:color w:val="000000"/>
          <w:kern w:val="0"/>
          <w:sz w:val="32"/>
          <w:szCs w:val="32"/>
          <w:highlight w:val="none"/>
        </w:rPr>
        <w:t>；</w:t>
      </w:r>
    </w:p>
    <w:p w14:paraId="73300531">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3.“好房子室内设计”命题类作品征集与评选，要求依照住建部好房子安全、舒适、绿色、智慧四大核心定义；</w:t>
      </w:r>
    </w:p>
    <w:p w14:paraId="3E837D05">
      <w:pPr>
        <w:keepNext w:val="0"/>
        <w:keepLines w:val="0"/>
        <w:pageBreakBefore w:val="0"/>
        <w:widowControl w:val="0"/>
        <w:tabs>
          <w:tab w:val="left" w:pos="312"/>
        </w:tabs>
        <w:kinsoku/>
        <w:wordWrap/>
        <w:overflowPunct/>
        <w:topLinePunct w:val="0"/>
        <w:bidi w:val="0"/>
        <w:snapToGrid/>
        <w:spacing w:line="240" w:lineRule="auto"/>
        <w:ind w:firstLine="640" w:firstLineChars="200"/>
        <w:contextualSpacing/>
        <w:jc w:val="left"/>
        <w:textAlignment w:val="auto"/>
        <w:rPr>
          <w:rFonts w:ascii="仿宋" w:hAnsi="仿宋" w:eastAsia="仿宋" w:cs="仿宋"/>
          <w:bCs/>
          <w:color w:val="000000"/>
          <w:kern w:val="0"/>
          <w:sz w:val="32"/>
          <w:szCs w:val="32"/>
          <w:highlight w:val="none"/>
        </w:rPr>
      </w:pPr>
      <w:r>
        <w:rPr>
          <w:rFonts w:hint="eastAsia" w:ascii="仿宋" w:hAnsi="仿宋" w:eastAsia="仿宋" w:cs="仿宋"/>
          <w:bCs/>
          <w:snapToGrid w:val="0"/>
          <w:color w:val="000000"/>
          <w:kern w:val="0"/>
          <w:sz w:val="32"/>
          <w:szCs w:val="32"/>
          <w:highlight w:val="none"/>
        </w:rPr>
        <w:t>4.大赛设分赛区，分区赛前100名入围总决赛。总决赛各类别设特等奖1名、</w:t>
      </w:r>
      <w:r>
        <w:rPr>
          <w:rFonts w:hint="eastAsia" w:ascii="仿宋" w:hAnsi="仿宋" w:eastAsia="仿宋" w:cs="仿宋"/>
          <w:snapToGrid w:val="0"/>
          <w:color w:val="000000"/>
          <w:kern w:val="0"/>
          <w:sz w:val="32"/>
          <w:szCs w:val="32"/>
          <w:highlight w:val="none"/>
        </w:rPr>
        <w:t>金奖10名、银奖20名</w:t>
      </w:r>
      <w:r>
        <w:rPr>
          <w:rFonts w:hint="eastAsia" w:ascii="仿宋" w:hAnsi="仿宋" w:eastAsia="仿宋" w:cs="仿宋"/>
          <w:bCs/>
          <w:snapToGrid w:val="0"/>
          <w:color w:val="000000"/>
          <w:kern w:val="0"/>
          <w:sz w:val="32"/>
          <w:szCs w:val="32"/>
          <w:highlight w:val="none"/>
        </w:rPr>
        <w:t>；</w:t>
      </w:r>
    </w:p>
    <w:p w14:paraId="4E222D3E">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5.协会组织专家对入围大赛作品终审，确定获选作品。</w:t>
      </w:r>
    </w:p>
    <w:p w14:paraId="6D49EB1D">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6.作品组织及审核</w:t>
      </w:r>
    </w:p>
    <w:p w14:paraId="5D716723">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（1）提交资料</w:t>
      </w:r>
      <w:r>
        <w:rPr>
          <w:rFonts w:hint="eastAsia" w:ascii="仿宋_GB2312" w:hAnsi="仿宋_GB2312" w:eastAsia="仿宋_GB2312" w:cs="仿宋_GB2312"/>
          <w:b w:val="0"/>
          <w:bCs w:val="0"/>
          <w:snapToGrid w:val="0"/>
          <w:color w:val="000000"/>
          <w:spacing w:val="-11"/>
          <w:kern w:val="0"/>
          <w:sz w:val="32"/>
          <w:szCs w:val="32"/>
          <w:highlight w:val="none"/>
          <w:lang w:val="en-US" w:eastAsia="zh-CN" w:bidi="ar-SA"/>
        </w:rPr>
        <w:t>时间：本通知发布之日起截至2026年5月30日；</w:t>
      </w:r>
    </w:p>
    <w:p w14:paraId="5E48E8DC">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注意：各推荐单位、申报单位以集体形式申报，需经设计师本人同意后方可代为申报；</w:t>
      </w:r>
    </w:p>
    <w:p w14:paraId="472F093D">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（2）审核时间：2026年6月；</w:t>
      </w:r>
    </w:p>
    <w:p w14:paraId="774C59DE">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（3）展览时间：2026年7月-9月。</w:t>
      </w:r>
    </w:p>
    <w:p w14:paraId="61708615">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（4）大赛颁奖时间：另行通知</w:t>
      </w:r>
    </w:p>
    <w:p w14:paraId="61A1C74D">
      <w:pPr>
        <w:keepNext w:val="0"/>
        <w:keepLines w:val="0"/>
        <w:pageBreakBefore w:val="0"/>
        <w:widowControl w:val="0"/>
        <w:kinsoku/>
        <w:wordWrap/>
        <w:overflowPunct/>
        <w:topLinePunct w:val="0"/>
        <w:bidi w:val="0"/>
        <w:snapToGrid/>
        <w:spacing w:line="240" w:lineRule="auto"/>
        <w:ind w:firstLine="643" w:firstLineChars="200"/>
        <w:contextualSpacing/>
        <w:jc w:val="left"/>
        <w:textAlignment w:val="auto"/>
        <w:rPr>
          <w:rFonts w:hint="eastAsia" w:ascii="仿宋_GB2312" w:hAnsi="仿宋_GB2312" w:eastAsia="仿宋_GB2312" w:cs="仿宋_GB2312"/>
          <w:b/>
          <w:bCs/>
          <w:color w:val="000000"/>
          <w:spacing w:val="0"/>
          <w:kern w:val="0"/>
          <w:sz w:val="32"/>
          <w:szCs w:val="32"/>
          <w:highlight w:val="none"/>
          <w:lang w:val="en-US" w:eastAsia="zh-CN" w:bidi="ar-SA"/>
        </w:rPr>
      </w:pPr>
      <w:r>
        <w:rPr>
          <w:rFonts w:hint="eastAsia" w:ascii="仿宋_GB2312" w:hAnsi="仿宋_GB2312" w:eastAsia="仿宋_GB2312" w:cs="仿宋_GB2312"/>
          <w:b/>
          <w:bCs/>
          <w:color w:val="000000"/>
          <w:spacing w:val="0"/>
          <w:kern w:val="0"/>
          <w:sz w:val="32"/>
          <w:szCs w:val="32"/>
          <w:highlight w:val="none"/>
          <w:lang w:val="en-US" w:eastAsia="zh-CN" w:bidi="ar-SA"/>
        </w:rPr>
        <w:t>7.申报类别及说明</w:t>
      </w:r>
    </w:p>
    <w:p w14:paraId="151B7C61">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（1）酒店空间类</w:t>
      </w:r>
    </w:p>
    <w:p w14:paraId="2CE0CFB2">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包括各类星级及度假商务酒店，包括度假酒店、商务精品酒店、星级品牌酒店等。</w:t>
      </w:r>
    </w:p>
    <w:p w14:paraId="065BC936">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（2）公共文化及展陈空间类</w:t>
      </w:r>
    </w:p>
    <w:p w14:paraId="43A57541">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包括博物馆、图书馆、文化馆（非遗馆）、科技馆、展览馆、影剧院、美术馆、音乐厅、会议中心、艺术中心等。</w:t>
      </w:r>
    </w:p>
    <w:p w14:paraId="4FB6DE8F">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（3）商业空间类</w:t>
      </w:r>
    </w:p>
    <w:p w14:paraId="64786F46">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包括商业中心、购物中心、商场超市、品牌零售店、连锁店、体验店、品牌展示中心（馆）、金融机构经营场所等。</w:t>
      </w:r>
    </w:p>
    <w:p w14:paraId="01E7E4C1">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（4）居住空间类</w:t>
      </w:r>
    </w:p>
    <w:p w14:paraId="03982703">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包括住宅、公寓、住宅样板间、四合院、别墅独栋、联排等空间。居住空间分为小户型（小于90平方米）、中户型（大于90平方米小于200平方米）、大户型（大于等于200平方米小于500平米）、大宅别墅（大于500平米）。</w:t>
      </w:r>
    </w:p>
    <w:p w14:paraId="1D146126">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（5）办公空间类</w:t>
      </w:r>
    </w:p>
    <w:p w14:paraId="0AC87FC1">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包括企事业单位办公楼、商业写字楼等。</w:t>
      </w:r>
    </w:p>
    <w:p w14:paraId="657BF895">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（6）乡建民宿类</w:t>
      </w:r>
    </w:p>
    <w:p w14:paraId="74874FC2">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包括</w:t>
      </w:r>
      <w:r>
        <w:rPr>
          <w:rFonts w:hint="eastAsia" w:ascii="仿宋_GB2312" w:hAnsi="仿宋_GB2312" w:eastAsia="仿宋_GB2312" w:cs="仿宋_GB2312"/>
          <w:b w:val="0"/>
          <w:bCs w:val="0"/>
          <w:snapToGrid w:val="0"/>
          <w:color w:val="000000"/>
          <w:spacing w:val="-6"/>
          <w:kern w:val="0"/>
          <w:sz w:val="32"/>
          <w:szCs w:val="32"/>
          <w:highlight w:val="none"/>
          <w:lang w:val="en-US" w:eastAsia="zh-CN" w:bidi="ar-SA"/>
        </w:rPr>
        <w:t>精品民宿、民居、乡村文化驿站、村史馆等乡村建筑空间。</w:t>
      </w:r>
    </w:p>
    <w:p w14:paraId="4A65FACC">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（7）适老空间类</w:t>
      </w:r>
    </w:p>
    <w:p w14:paraId="3064B327">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包括敬老院、老年活动中心、老年大学、康养中心、居住空间等。</w:t>
      </w:r>
    </w:p>
    <w:p w14:paraId="6CF69AB9">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（8）陈设艺术类</w:t>
      </w:r>
    </w:p>
    <w:p w14:paraId="6ED78B7E">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包括住宅空间、酒店空间、商业空间、餐饮空间、办公空间、家居店面等陈列设计（涵盖家具、艺术品、陶瓷、花艺、灯饰等软装饰、后期配饰）。</w:t>
      </w:r>
    </w:p>
    <w:p w14:paraId="59963686">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（9）园林景观类</w:t>
      </w:r>
    </w:p>
    <w:p w14:paraId="592943D5">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包括城市园林规划、公园小品、庭院、乡村规划等与建筑相关的景观设计等。</w:t>
      </w:r>
    </w:p>
    <w:p w14:paraId="140B01CF">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（10）文教体育类</w:t>
      </w:r>
    </w:p>
    <w:p w14:paraId="6EAED248">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包括学校（幼儿园、小学、中学、大学、培训机构等）、体育场馆、体育活动中心及体育竞技场馆等。</w:t>
      </w:r>
    </w:p>
    <w:p w14:paraId="784721FD">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（11）医疗空间类</w:t>
      </w:r>
    </w:p>
    <w:p w14:paraId="6629E3ED">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包括医院、康复中心、疗养院、体检中心等。</w:t>
      </w:r>
    </w:p>
    <w:p w14:paraId="1A2491DD">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（12）娱乐健身类</w:t>
      </w:r>
    </w:p>
    <w:p w14:paraId="3318E0EE">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包括健身房、休闲娱乐场所、洗浴中心及KTV练歌房等娱乐健身场所等。</w:t>
      </w:r>
    </w:p>
    <w:p w14:paraId="7869526C">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（13）餐饮休闲空间类</w:t>
      </w:r>
    </w:p>
    <w:p w14:paraId="7EFA7AAE">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包括主题餐厅、特色餐厅、连锁餐饮、咖啡厅、各类酒吧（酒廊）等。</w:t>
      </w:r>
    </w:p>
    <w:p w14:paraId="4541E64E">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（14）城市更新类</w:t>
      </w:r>
    </w:p>
    <w:p w14:paraId="013E2B3E">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包括老旧街区（含历史文化街区）、老旧小区、老旧厂区、文旅小镇等相关类项目的提升改造。</w:t>
      </w:r>
    </w:p>
    <w:p w14:paraId="0EF63AE8">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（15）数字媒体艺术类</w:t>
      </w:r>
    </w:p>
    <w:p w14:paraId="223E8105">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运用数字媒体技术在室内外空间的数字媒体艺术及沉浸式项目案例及创作作品（已完成项目或有具体的对标项目），提报作品需提供完整的视频案例及设计方案。</w:t>
      </w:r>
    </w:p>
    <w:p w14:paraId="065F934A">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（16）人工智能设计类</w:t>
      </w:r>
    </w:p>
    <w:p w14:paraId="7D9105D5">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运用人工智能技术生成的可实施的空间艺术设计作品。</w:t>
      </w:r>
    </w:p>
    <w:p w14:paraId="45A6E937">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default"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（17）好房子室内设计类</w:t>
      </w:r>
    </w:p>
    <w:p w14:paraId="3EB18618">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“好房子室内设计”命题类作品征集与评选，要求依照住建部好房子安全、舒适、绿色、智慧四大核心定义。</w:t>
      </w:r>
    </w:p>
    <w:p w14:paraId="5B996DB0">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8.报名要求</w:t>
      </w:r>
    </w:p>
    <w:p w14:paraId="743ADC8E">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（1）作品完成时间：2023年-2025年完成的设计。</w:t>
      </w:r>
    </w:p>
    <w:p w14:paraId="4D90A090">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（2）设计个人类作品：独立设计师及设计从业者申报。</w:t>
      </w:r>
    </w:p>
    <w:p w14:paraId="3EA400FC">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（3）机构(单位)类作品：设计机构、设计院所等。</w:t>
      </w:r>
    </w:p>
    <w:p w14:paraId="4F81387B">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（4）文件夹整理</w:t>
      </w:r>
    </w:p>
    <w:p w14:paraId="67059E57">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关于申报资料的文件夹整理参照下图表，展板文件可以后期统一提交。</w:t>
      </w:r>
      <w:r>
        <w:rPr>
          <w:rFonts w:hint="eastAsia" w:ascii="仿宋_GB2312" w:hAnsi="仿宋_GB2312" w:eastAsia="仿宋_GB2312" w:cs="仿宋_GB2312"/>
          <w:b w:val="0"/>
          <w:bCs w:val="0"/>
          <w:color w:val="000000"/>
          <w:spacing w:val="0"/>
          <w:kern w:val="0"/>
          <w:sz w:val="32"/>
          <w:szCs w:val="32"/>
          <w:highlight w:val="none"/>
          <w:lang w:val="en-US" w:eastAsia="zh-CN" w:bidi="ar-SA"/>
        </w:rPr>
        <w:drawing>
          <wp:anchor distT="0" distB="0" distL="114300" distR="114300" simplePos="0" relativeHeight="251659264" behindDoc="1" locked="0" layoutInCell="1" allowOverlap="1">
            <wp:simplePos x="0" y="0"/>
            <wp:positionH relativeFrom="column">
              <wp:posOffset>0</wp:posOffset>
            </wp:positionH>
            <wp:positionV relativeFrom="paragraph">
              <wp:posOffset>854075</wp:posOffset>
            </wp:positionV>
            <wp:extent cx="5750560" cy="1901825"/>
            <wp:effectExtent l="0" t="0" r="15240" b="3175"/>
            <wp:wrapNone/>
            <wp:docPr id="1" name="图片 1" descr="微信图片_20251118124533_10_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51118124533_10_380"/>
                    <pic:cNvPicPr>
                      <a:picLocks noChangeAspect="1"/>
                    </pic:cNvPicPr>
                  </pic:nvPicPr>
                  <pic:blipFill>
                    <a:blip r:embed="rId5"/>
                    <a:stretch>
                      <a:fillRect/>
                    </a:stretch>
                  </pic:blipFill>
                  <pic:spPr>
                    <a:xfrm>
                      <a:off x="0" y="0"/>
                      <a:ext cx="5750560" cy="1901825"/>
                    </a:xfrm>
                    <a:prstGeom prst="rect">
                      <a:avLst/>
                    </a:prstGeom>
                  </pic:spPr>
                </pic:pic>
              </a:graphicData>
            </a:graphic>
          </wp:anchor>
        </w:drawing>
      </w:r>
    </w:p>
    <w:p w14:paraId="7E72C957">
      <w:pPr>
        <w:keepNext w:val="0"/>
        <w:keepLines w:val="0"/>
        <w:pageBreakBefore w:val="0"/>
        <w:widowControl w:val="0"/>
        <w:kinsoku/>
        <w:wordWrap/>
        <w:overflowPunct/>
        <w:topLinePunct w:val="0"/>
        <w:bidi w:val="0"/>
        <w:snapToGrid/>
        <w:spacing w:line="240" w:lineRule="auto"/>
        <w:contextualSpacing/>
        <w:textAlignment w:val="auto"/>
        <w:rPr>
          <w:rFonts w:ascii="仿宋" w:hAnsi="仿宋" w:eastAsia="仿宋" w:cs="仿宋"/>
          <w:snapToGrid w:val="0"/>
          <w:color w:val="000000"/>
          <w:kern w:val="0"/>
          <w:sz w:val="32"/>
          <w:szCs w:val="32"/>
          <w:highlight w:val="none"/>
        </w:rPr>
      </w:pPr>
    </w:p>
    <w:p w14:paraId="675EFF33">
      <w:pPr>
        <w:keepNext w:val="0"/>
        <w:keepLines w:val="0"/>
        <w:pageBreakBefore w:val="0"/>
        <w:widowControl w:val="0"/>
        <w:kinsoku/>
        <w:wordWrap/>
        <w:overflowPunct/>
        <w:topLinePunct w:val="0"/>
        <w:bidi w:val="0"/>
        <w:snapToGrid/>
        <w:spacing w:line="240" w:lineRule="auto"/>
        <w:contextualSpacing/>
        <w:textAlignment w:val="auto"/>
        <w:rPr>
          <w:rFonts w:ascii="仿宋" w:hAnsi="仿宋" w:eastAsia="仿宋" w:cs="仿宋"/>
          <w:bCs/>
          <w:snapToGrid w:val="0"/>
          <w:color w:val="000000"/>
          <w:kern w:val="0"/>
          <w:sz w:val="32"/>
          <w:szCs w:val="32"/>
          <w:highlight w:val="none"/>
        </w:rPr>
      </w:pPr>
    </w:p>
    <w:p w14:paraId="0B6787AD">
      <w:pPr>
        <w:keepNext w:val="0"/>
        <w:keepLines w:val="0"/>
        <w:pageBreakBefore w:val="0"/>
        <w:widowControl w:val="0"/>
        <w:kinsoku/>
        <w:wordWrap/>
        <w:overflowPunct/>
        <w:topLinePunct w:val="0"/>
        <w:bidi w:val="0"/>
        <w:snapToGrid/>
        <w:spacing w:line="240" w:lineRule="auto"/>
        <w:ind w:firstLine="640" w:firstLineChars="200"/>
        <w:contextualSpacing/>
        <w:textAlignment w:val="auto"/>
        <w:rPr>
          <w:rFonts w:ascii="仿宋" w:hAnsi="仿宋" w:eastAsia="仿宋" w:cs="仿宋"/>
          <w:snapToGrid w:val="0"/>
          <w:color w:val="000000"/>
          <w:kern w:val="0"/>
          <w:sz w:val="32"/>
          <w:szCs w:val="32"/>
          <w:highlight w:val="none"/>
        </w:rPr>
      </w:pPr>
    </w:p>
    <w:p w14:paraId="496C622F">
      <w:pPr>
        <w:keepNext w:val="0"/>
        <w:keepLines w:val="0"/>
        <w:pageBreakBefore w:val="0"/>
        <w:widowControl w:val="0"/>
        <w:kinsoku/>
        <w:wordWrap/>
        <w:overflowPunct/>
        <w:topLinePunct w:val="0"/>
        <w:bidi w:val="0"/>
        <w:snapToGrid/>
        <w:spacing w:line="240" w:lineRule="auto"/>
        <w:ind w:firstLine="640" w:firstLineChars="200"/>
        <w:contextualSpacing/>
        <w:textAlignment w:val="auto"/>
        <w:rPr>
          <w:rFonts w:ascii="仿宋" w:hAnsi="仿宋" w:eastAsia="仿宋" w:cs="仿宋"/>
          <w:snapToGrid w:val="0"/>
          <w:color w:val="000000"/>
          <w:kern w:val="0"/>
          <w:sz w:val="32"/>
          <w:szCs w:val="32"/>
          <w:highlight w:val="none"/>
        </w:rPr>
      </w:pPr>
    </w:p>
    <w:p w14:paraId="24A9762C">
      <w:pPr>
        <w:keepNext w:val="0"/>
        <w:keepLines w:val="0"/>
        <w:pageBreakBefore w:val="0"/>
        <w:widowControl w:val="0"/>
        <w:kinsoku/>
        <w:wordWrap/>
        <w:overflowPunct/>
        <w:topLinePunct w:val="0"/>
        <w:bidi w:val="0"/>
        <w:snapToGrid/>
        <w:spacing w:line="240" w:lineRule="auto"/>
        <w:ind w:firstLine="640" w:firstLineChars="200"/>
        <w:contextualSpacing/>
        <w:textAlignment w:val="auto"/>
        <w:rPr>
          <w:rFonts w:ascii="仿宋" w:hAnsi="仿宋" w:eastAsia="仿宋" w:cs="仿宋"/>
          <w:snapToGrid w:val="0"/>
          <w:color w:val="000000"/>
          <w:kern w:val="0"/>
          <w:sz w:val="32"/>
          <w:szCs w:val="32"/>
          <w:highlight w:val="none"/>
        </w:rPr>
      </w:pPr>
    </w:p>
    <w:p w14:paraId="6ADB9576">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9.准备资料及要求</w:t>
      </w:r>
    </w:p>
    <w:p w14:paraId="021565BB">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（1）个人作品类准备资料</w:t>
      </w:r>
    </w:p>
    <w:p w14:paraId="428711B3">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A.提交个人半身艺术照及人物头像各1张；</w:t>
      </w:r>
    </w:p>
    <w:p w14:paraId="56F86E24">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B.身份证复印件、学历证明复印件、获奖证书复印件；</w:t>
      </w:r>
    </w:p>
    <w:p w14:paraId="224F9888">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C.个人简介（200字内）；</w:t>
      </w:r>
    </w:p>
    <w:p w14:paraId="3E11B289">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D.设计说明；</w:t>
      </w:r>
    </w:p>
    <w:p w14:paraId="1981D6B6">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E.平、立、剖面图(平面图必有)；</w:t>
      </w:r>
    </w:p>
    <w:p w14:paraId="00F035A7">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F.工程或方案类作品照片10-15张（所有图片须为jpg格式，CMYK四色，300dpi）；可附加5分钟内视频宣传内容。</w:t>
      </w:r>
    </w:p>
    <w:p w14:paraId="577A7482">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G.个人作品类报名要求：</w:t>
      </w:r>
    </w:p>
    <w:p w14:paraId="3165D405">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a.2023年-2025年。</w:t>
      </w:r>
    </w:p>
    <w:p w14:paraId="16979AB0">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b.一个项目只能申报一个类别。</w:t>
      </w:r>
    </w:p>
    <w:p w14:paraId="0F66FEBC">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工程类项目指已竣工并有实景图的项目。</w:t>
      </w:r>
    </w:p>
    <w:p w14:paraId="0E87033C">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方案类项目指只有效果图阶段、未竣工或施工，没有实景图。</w:t>
      </w:r>
    </w:p>
    <w:p w14:paraId="277A1747">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（2）机构作品类作品准备资料（申报资料文件夹整理参照作品类）</w:t>
      </w:r>
    </w:p>
    <w:p w14:paraId="5FED3791">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A.营业执照、会员单位证书复印件；</w:t>
      </w:r>
    </w:p>
    <w:p w14:paraId="26E777B3">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B.企业说明（300字内）；</w:t>
      </w:r>
    </w:p>
    <w:p w14:paraId="58D4BD27">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C.团队照片/企业形象或标识；</w:t>
      </w:r>
    </w:p>
    <w:p w14:paraId="48BD7080">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D.工程或方案类作品照片10-15张（所有图片须为jpg格式，CMYK四色，300dpi）；可附加5分钟内视频宣传内容。</w:t>
      </w:r>
    </w:p>
    <w:p w14:paraId="328F5FE8">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E.专项类别提交2套本类别作品，综合类别提交至少3个不同类别各2套作品。</w:t>
      </w:r>
    </w:p>
    <w:p w14:paraId="2B496A02">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10.报名方式</w:t>
      </w:r>
    </w:p>
    <w:p w14:paraId="2CAA2BDA">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（1）填写报名表（见附件2-3）；</w:t>
      </w:r>
    </w:p>
    <w:p w14:paraId="643C0D86">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（2）准备资料以电子版发到中国建筑装饰协会设计分会。</w:t>
      </w:r>
    </w:p>
    <w:p w14:paraId="517171D7">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11.权利与义务</w:t>
      </w:r>
    </w:p>
    <w:p w14:paraId="6745B3FC">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（1）所有参与者享有同等参与评审、监督、建议的权利，活动主办方负有被监督、听取建议的义务；</w:t>
      </w:r>
    </w:p>
    <w:p w14:paraId="557F9CC6">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（2）所有参与者有义务无偿将参评作品版权授予活动主办方，供活动主办方传播、展览、出版参赛作品集之用；</w:t>
      </w:r>
    </w:p>
    <w:p w14:paraId="34A1AFB0">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（3）所有参与者不得要求活动主办方退回所提交的参评资料，不提出任何形式的索偿要求；</w:t>
      </w:r>
    </w:p>
    <w:p w14:paraId="42C9161A">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（4）参与者应自行保证申报作品具有全部知识产权，如发现参赛者申报作品有不符合参展条件情形，活动主办方有权在审核任一阶</w:t>
      </w:r>
      <w:r>
        <w:rPr>
          <w:rFonts w:hint="eastAsia" w:ascii="仿宋_GB2312" w:hAnsi="仿宋_GB2312" w:eastAsia="仿宋_GB2312" w:cs="仿宋_GB2312"/>
          <w:b w:val="0"/>
          <w:bCs w:val="0"/>
          <w:snapToGrid w:val="0"/>
          <w:color w:val="000000"/>
          <w:spacing w:val="-6"/>
          <w:kern w:val="0"/>
          <w:sz w:val="32"/>
          <w:szCs w:val="32"/>
          <w:highlight w:val="none"/>
          <w:lang w:val="en-US" w:eastAsia="zh-CN" w:bidi="ar-SA"/>
        </w:rPr>
        <w:t>段取消其参展资格，由此造成主办方损失的，由参展者承担；</w:t>
      </w:r>
    </w:p>
    <w:p w14:paraId="08F760CC">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（5）就材料提交、展览、公示、宣传与出版等一切事项，参展者无权向主办方主张获得任何补偿、报酬的权利，亦无权要求享有任何特殊权利；</w:t>
      </w:r>
    </w:p>
    <w:p w14:paraId="44C523AB">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（6）如其他方对参与作品提出知识产权方面的争议，则由参展者自行处理并承担一切法律责任；</w:t>
      </w:r>
    </w:p>
    <w:p w14:paraId="15AB0400">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lang w:val="en-US" w:eastAsia="zh-CN" w:bidi="ar-SA"/>
        </w:rPr>
      </w:pPr>
      <w:r>
        <w:rPr>
          <w:rFonts w:hint="eastAsia" w:ascii="仿宋_GB2312" w:hAnsi="仿宋_GB2312" w:eastAsia="仿宋_GB2312" w:cs="仿宋_GB2312"/>
          <w:b w:val="0"/>
          <w:bCs w:val="0"/>
          <w:color w:val="000000"/>
          <w:spacing w:val="0"/>
          <w:kern w:val="0"/>
          <w:sz w:val="32"/>
          <w:szCs w:val="32"/>
          <w:highlight w:val="none"/>
          <w:lang w:val="en-US" w:eastAsia="zh-CN" w:bidi="ar-SA"/>
        </w:rPr>
        <w:t>（7）本活动自愿参加；</w:t>
      </w:r>
    </w:p>
    <w:p w14:paraId="61C5BB8D">
      <w:pPr>
        <w:pStyle w:val="6"/>
        <w:keepNext w:val="0"/>
        <w:keepLines w:val="0"/>
        <w:pageBreakBefore w:val="0"/>
        <w:widowControl w:val="0"/>
        <w:kinsoku/>
        <w:wordWrap/>
        <w:overflowPunct/>
        <w:topLinePunct w:val="0"/>
        <w:bidi w:val="0"/>
        <w:snapToGrid/>
        <w:spacing w:beforeAutospacing="0" w:afterAutospacing="0" w:line="240" w:lineRule="auto"/>
        <w:ind w:firstLine="640" w:firstLineChars="200"/>
        <w:jc w:val="both"/>
        <w:textAlignment w:val="auto"/>
        <w:rPr>
          <w:highlight w:val="none"/>
        </w:rPr>
      </w:pPr>
      <w:r>
        <w:rPr>
          <w:rFonts w:hint="eastAsia" w:ascii="仿宋_GB2312" w:hAnsi="仿宋_GB2312" w:eastAsia="仿宋_GB2312" w:cs="仿宋_GB2312"/>
          <w:b w:val="0"/>
          <w:bCs w:val="0"/>
          <w:color w:val="000000"/>
          <w:spacing w:val="0"/>
          <w:kern w:val="0"/>
          <w:sz w:val="32"/>
          <w:szCs w:val="32"/>
          <w:highlight w:val="none"/>
          <w:lang w:val="en-US" w:eastAsia="zh-CN" w:bidi="ar-SA"/>
        </w:rPr>
        <w:t>（8）本规则的解释权归承办单位。</w:t>
      </w:r>
      <w:bookmarkStart w:id="0" w:name="_GoBack"/>
      <w:bookmarkEnd w:id="0"/>
    </w:p>
    <w:sectPr>
      <w:footerReference r:id="rId3" w:type="default"/>
      <w:pgSz w:w="11906" w:h="16838"/>
      <w:pgMar w:top="1440" w:right="1247" w:bottom="1440"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PingFang SC">
    <w:panose1 w:val="020B0400000000000000"/>
    <w:charset w:val="86"/>
    <w:family w:val="auto"/>
    <w:pitch w:val="default"/>
    <w:sig w:usb0="A00002FF" w:usb1="7ACFFDFB" w:usb2="00000017" w:usb3="00000000" w:csb0="00040001" w:csb1="00000000"/>
  </w:font>
  <w:font w:name="Tahoma">
    <w:panose1 w:val="020B0804030504040204"/>
    <w:charset w:val="00"/>
    <w:family w:val="auto"/>
    <w:pitch w:val="default"/>
    <w:sig w:usb0="E1002AFF" w:usb1="C000605B" w:usb2="00000029" w:usb3="00000000" w:csb0="200101FF" w:csb1="2028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94F21">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481C24E">
                          <w:pPr>
                            <w:pStyle w:val="4"/>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- 3 -</w:t>
                          </w:r>
                          <w:r>
                            <w:rPr>
                              <w:rFonts w:hint="eastAsia" w:ascii="仿宋_GB2312" w:hAnsi="仿宋_GB2312" w:eastAsia="仿宋_GB2312" w:cs="仿宋_GB2312"/>
                              <w:sz w:val="28"/>
                              <w:szCs w:val="2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aKjbh0QEAAKIDAAAOAAAAAAAAAAEAIAAAAB8BAABk&#10;cnMvZTJvRG9jLnhtbFBLBQYAAAAABgAGAFkBAABiBQAAAAA=&#10;">
              <v:fill on="f" focussize="0,0"/>
              <v:stroke on="f" weight="0.5pt"/>
              <v:imagedata o:title=""/>
              <o:lock v:ext="edit" aspectratio="f"/>
              <v:textbox inset="0mm,0mm,0mm,0mm" style="mso-fit-shape-to-text:t;">
                <w:txbxContent>
                  <w:p w14:paraId="0481C24E">
                    <w:pPr>
                      <w:pStyle w:val="4"/>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- 3 -</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8"/>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jZjJlYWNkN2U1MTFmY2UwZWJiZjIzZTgxNWU5NDIifQ=="/>
  </w:docVars>
  <w:rsids>
    <w:rsidRoot w:val="006C13C9"/>
    <w:rsid w:val="00064AE2"/>
    <w:rsid w:val="000D70A5"/>
    <w:rsid w:val="000F1FF1"/>
    <w:rsid w:val="00291306"/>
    <w:rsid w:val="002A6C65"/>
    <w:rsid w:val="002A7B3E"/>
    <w:rsid w:val="002D2ABA"/>
    <w:rsid w:val="00370061"/>
    <w:rsid w:val="004322C0"/>
    <w:rsid w:val="00582D37"/>
    <w:rsid w:val="00667588"/>
    <w:rsid w:val="00671DEE"/>
    <w:rsid w:val="006C13C9"/>
    <w:rsid w:val="007B3C57"/>
    <w:rsid w:val="00831131"/>
    <w:rsid w:val="0090113D"/>
    <w:rsid w:val="00962396"/>
    <w:rsid w:val="00A36927"/>
    <w:rsid w:val="00B15B67"/>
    <w:rsid w:val="00C04781"/>
    <w:rsid w:val="00CF1796"/>
    <w:rsid w:val="00D052DD"/>
    <w:rsid w:val="00D64B72"/>
    <w:rsid w:val="00FE284E"/>
    <w:rsid w:val="017D1C43"/>
    <w:rsid w:val="06DDE900"/>
    <w:rsid w:val="08204893"/>
    <w:rsid w:val="0C137D18"/>
    <w:rsid w:val="0ED75946"/>
    <w:rsid w:val="103877B0"/>
    <w:rsid w:val="14D867A4"/>
    <w:rsid w:val="175E2C00"/>
    <w:rsid w:val="1AF04567"/>
    <w:rsid w:val="1BFA082A"/>
    <w:rsid w:val="20D42E99"/>
    <w:rsid w:val="2B5EC9F4"/>
    <w:rsid w:val="2BE3EF84"/>
    <w:rsid w:val="2C5A3034"/>
    <w:rsid w:val="2F9E1D4B"/>
    <w:rsid w:val="2FFD92A7"/>
    <w:rsid w:val="342A501C"/>
    <w:rsid w:val="357DF74A"/>
    <w:rsid w:val="36BF2523"/>
    <w:rsid w:val="38005742"/>
    <w:rsid w:val="3AB53447"/>
    <w:rsid w:val="3BF7434C"/>
    <w:rsid w:val="3E9A3821"/>
    <w:rsid w:val="3FED4533"/>
    <w:rsid w:val="3FFDB6D8"/>
    <w:rsid w:val="46E82445"/>
    <w:rsid w:val="49F9729E"/>
    <w:rsid w:val="4AD83790"/>
    <w:rsid w:val="4BFAA9D5"/>
    <w:rsid w:val="4FED28A4"/>
    <w:rsid w:val="50C5392D"/>
    <w:rsid w:val="556FF2BF"/>
    <w:rsid w:val="55F77F75"/>
    <w:rsid w:val="56024028"/>
    <w:rsid w:val="57FB7709"/>
    <w:rsid w:val="5B5F42C6"/>
    <w:rsid w:val="5D79A539"/>
    <w:rsid w:val="5F9BE28E"/>
    <w:rsid w:val="5FAF8D53"/>
    <w:rsid w:val="5FDB701A"/>
    <w:rsid w:val="5FDF963F"/>
    <w:rsid w:val="5FF18661"/>
    <w:rsid w:val="62BF6A72"/>
    <w:rsid w:val="65A71F52"/>
    <w:rsid w:val="677F13A7"/>
    <w:rsid w:val="67BFF733"/>
    <w:rsid w:val="67E79416"/>
    <w:rsid w:val="67FC869E"/>
    <w:rsid w:val="67FFB464"/>
    <w:rsid w:val="69FD3F24"/>
    <w:rsid w:val="6DFFD5D6"/>
    <w:rsid w:val="6EA2A191"/>
    <w:rsid w:val="6ECA2224"/>
    <w:rsid w:val="6EF67AB2"/>
    <w:rsid w:val="6EFFA237"/>
    <w:rsid w:val="6F6B95FD"/>
    <w:rsid w:val="6FDF7EC1"/>
    <w:rsid w:val="6FF34F6B"/>
    <w:rsid w:val="70057314"/>
    <w:rsid w:val="73F73C06"/>
    <w:rsid w:val="73FCFBD5"/>
    <w:rsid w:val="73FE3189"/>
    <w:rsid w:val="74FFC457"/>
    <w:rsid w:val="76B7CCF3"/>
    <w:rsid w:val="76FAA13C"/>
    <w:rsid w:val="774C8D13"/>
    <w:rsid w:val="77B7996E"/>
    <w:rsid w:val="7AB72948"/>
    <w:rsid w:val="7B365E7D"/>
    <w:rsid w:val="7B70089C"/>
    <w:rsid w:val="7BDCAAF2"/>
    <w:rsid w:val="7BFE019F"/>
    <w:rsid w:val="7CFD697A"/>
    <w:rsid w:val="7DEAE8EE"/>
    <w:rsid w:val="7DF93792"/>
    <w:rsid w:val="7DFF1923"/>
    <w:rsid w:val="7EBA793C"/>
    <w:rsid w:val="7F7B2C4B"/>
    <w:rsid w:val="7F7D118D"/>
    <w:rsid w:val="7F9BA33F"/>
    <w:rsid w:val="7FB5B90D"/>
    <w:rsid w:val="7FBBA8D8"/>
    <w:rsid w:val="7FBF02ED"/>
    <w:rsid w:val="7FBF58C3"/>
    <w:rsid w:val="7FDF1916"/>
    <w:rsid w:val="7FDF73AB"/>
    <w:rsid w:val="7FFE4ED6"/>
    <w:rsid w:val="7FFF3EE9"/>
    <w:rsid w:val="7FFFE925"/>
    <w:rsid w:val="8BFEF7AD"/>
    <w:rsid w:val="8DDF6664"/>
    <w:rsid w:val="94FBF15F"/>
    <w:rsid w:val="97DD0C59"/>
    <w:rsid w:val="9E23628B"/>
    <w:rsid w:val="9F1D05E7"/>
    <w:rsid w:val="9FEDC59C"/>
    <w:rsid w:val="AB9B450E"/>
    <w:rsid w:val="AEFFD4E5"/>
    <w:rsid w:val="AF2D5EFB"/>
    <w:rsid w:val="B1D7B175"/>
    <w:rsid w:val="B6B738A8"/>
    <w:rsid w:val="B7BBE358"/>
    <w:rsid w:val="B96076B2"/>
    <w:rsid w:val="BB1D3BDE"/>
    <w:rsid w:val="BBA22B31"/>
    <w:rsid w:val="BF866D2D"/>
    <w:rsid w:val="BFB705FA"/>
    <w:rsid w:val="BFBCEDFE"/>
    <w:rsid w:val="C7F723C9"/>
    <w:rsid w:val="CFA97471"/>
    <w:rsid w:val="CFEDEC6E"/>
    <w:rsid w:val="D17B1D9E"/>
    <w:rsid w:val="D7FE13AF"/>
    <w:rsid w:val="DDEF3CE0"/>
    <w:rsid w:val="DDF652B7"/>
    <w:rsid w:val="DF7D1A65"/>
    <w:rsid w:val="DFD7B45F"/>
    <w:rsid w:val="DFDC43E5"/>
    <w:rsid w:val="DFEE29D6"/>
    <w:rsid w:val="E95F25AE"/>
    <w:rsid w:val="E9FE5208"/>
    <w:rsid w:val="EB6D4414"/>
    <w:rsid w:val="EDD36274"/>
    <w:rsid w:val="EFFFDB28"/>
    <w:rsid w:val="F0DB7074"/>
    <w:rsid w:val="F1AC7805"/>
    <w:rsid w:val="F2F1F993"/>
    <w:rsid w:val="F371D29B"/>
    <w:rsid w:val="F3EFAFAD"/>
    <w:rsid w:val="F5EB2EFC"/>
    <w:rsid w:val="F60B09DC"/>
    <w:rsid w:val="F6BBAD90"/>
    <w:rsid w:val="F6FA2E5D"/>
    <w:rsid w:val="F755CAF4"/>
    <w:rsid w:val="F779C8D3"/>
    <w:rsid w:val="F77EE2EE"/>
    <w:rsid w:val="F7EF2137"/>
    <w:rsid w:val="F7F9BD96"/>
    <w:rsid w:val="F8FD16B7"/>
    <w:rsid w:val="F9FA35C0"/>
    <w:rsid w:val="F9FBC70E"/>
    <w:rsid w:val="FA7FA2DB"/>
    <w:rsid w:val="FADF8BF9"/>
    <w:rsid w:val="FAFF6CEE"/>
    <w:rsid w:val="FB5AD546"/>
    <w:rsid w:val="FBD79F79"/>
    <w:rsid w:val="FBF76E65"/>
    <w:rsid w:val="FBFFC23E"/>
    <w:rsid w:val="FC7F34F0"/>
    <w:rsid w:val="FCE37DC3"/>
    <w:rsid w:val="FCF7CB0C"/>
    <w:rsid w:val="FD53B2F7"/>
    <w:rsid w:val="FDBCD388"/>
    <w:rsid w:val="FDBE31F4"/>
    <w:rsid w:val="FDFB5FEC"/>
    <w:rsid w:val="FDFD8BD1"/>
    <w:rsid w:val="FE7F5F70"/>
    <w:rsid w:val="FE8D7649"/>
    <w:rsid w:val="FED245F5"/>
    <w:rsid w:val="FEEF4317"/>
    <w:rsid w:val="FEF7BA3F"/>
    <w:rsid w:val="FF3BFCB5"/>
    <w:rsid w:val="FF51FB79"/>
    <w:rsid w:val="FF5E3A8F"/>
    <w:rsid w:val="FF5F5261"/>
    <w:rsid w:val="FF757883"/>
    <w:rsid w:val="FF9CF571"/>
    <w:rsid w:val="FFDDA063"/>
    <w:rsid w:val="FFDFE0C5"/>
    <w:rsid w:val="FFFD233A"/>
    <w:rsid w:val="FFFF5B62"/>
    <w:rsid w:val="FFFF716A"/>
    <w:rsid w:val="FFFFAFB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customStyle="1" w:styleId="12">
    <w:name w:val="批注框文本 Char"/>
    <w:basedOn w:val="9"/>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5307</Words>
  <Characters>5665</Characters>
  <Lines>49</Lines>
  <Paragraphs>13</Paragraphs>
  <TotalTime>72</TotalTime>
  <ScaleCrop>false</ScaleCrop>
  <LinksUpToDate>false</LinksUpToDate>
  <CharactersWithSpaces>6079</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2024-04-05T00:01:00Z</dcterms:created>
  <dc:creator>Administrator</dc:creator>
  <cp:lastModifiedBy>123</cp:lastModifiedBy>
  <dcterms:modified xsi:type="dcterms:W3CDTF">2026-01-08T14:10:04Z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C6C4D176B36BD82C74485F69E8749D1D_43</vt:lpwstr>
  </property>
  <property fmtid="{D5CDD505-2E9C-101B-9397-08002B2CF9AE}" pid="4" name="KSOTemplateDocerSaveRecord">
    <vt:lpwstr>eyJoZGlkIjoiYzk0M2Q1NzhkYjdmYmM0ZTZiYWJiODNjMTczZjE2YTgiLCJ1c2VySWQiOiI2NjY0ODY2MzAifQ==</vt:lpwstr>
  </property>
</Properties>
</file>